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1824" w14:textId="485BCADC" w:rsidR="00164CC6" w:rsidRPr="006F2BE8" w:rsidRDefault="00407CEE" w:rsidP="00CE43D6">
      <w:pPr>
        <w:pStyle w:val="Heading1"/>
      </w:pPr>
      <w:r>
        <w:t>Carbon Reduction Plan</w:t>
      </w:r>
    </w:p>
    <w:p w14:paraId="069DF2B1" w14:textId="4A3977F9" w:rsidR="00407CEE" w:rsidRDefault="00407CEE" w:rsidP="00AB3F5B">
      <w:pPr>
        <w:pStyle w:val="H1subtitle"/>
      </w:pPr>
      <w:r>
        <w:t>Supplier Name: Social Finance Ltd</w:t>
      </w:r>
    </w:p>
    <w:p w14:paraId="16ED4FEB" w14:textId="40E986FC" w:rsidR="00407CEE" w:rsidRDefault="00407CEE" w:rsidP="00AB3F5B">
      <w:pPr>
        <w:pStyle w:val="H1subtitle"/>
      </w:pPr>
      <w:r>
        <w:t xml:space="preserve">Publication Date: </w:t>
      </w:r>
      <w:r w:rsidR="00555A10">
        <w:t>28 November 2024</w:t>
      </w:r>
      <w:r>
        <w:br w:type="page"/>
      </w:r>
    </w:p>
    <w:p w14:paraId="0F311208" w14:textId="38DC33C9" w:rsidR="00DA39EF" w:rsidRPr="00F94A19" w:rsidRDefault="00407CEE" w:rsidP="00CE43D6">
      <w:pPr>
        <w:pStyle w:val="Heading2"/>
      </w:pPr>
      <w:r>
        <w:lastRenderedPageBreak/>
        <w:t>Commitment to achieving Net Zero</w:t>
      </w:r>
    </w:p>
    <w:p w14:paraId="677463AA" w14:textId="67CDC2DF" w:rsidR="009128F1" w:rsidRDefault="00407CEE" w:rsidP="009128F1">
      <w:r>
        <w:t xml:space="preserve">Social Finance is committed to achieving Net Zero by </w:t>
      </w:r>
      <w:r w:rsidR="00772C4C">
        <w:t>20</w:t>
      </w:r>
      <w:r w:rsidR="00DA4D3C">
        <w:t>40</w:t>
      </w:r>
      <w:r>
        <w:t>.</w:t>
      </w:r>
    </w:p>
    <w:p w14:paraId="0FBF4FE7" w14:textId="26CF7AB1" w:rsidR="009128F1" w:rsidRDefault="00760BC4" w:rsidP="009128F1">
      <w:pPr>
        <w:pStyle w:val="Heading2"/>
      </w:pPr>
      <w:r>
        <w:t xml:space="preserve">Baseline </w:t>
      </w:r>
      <w:r w:rsidR="00407CEE">
        <w:t>Emissions Footprint</w:t>
      </w:r>
    </w:p>
    <w:p w14:paraId="56D60B2B" w14:textId="6B23DBEF" w:rsidR="00407CEE" w:rsidRDefault="00407CEE" w:rsidP="009128F1">
      <w:r w:rsidRPr="00407CEE">
        <w:t>Baseline emissions are a record of the greenhouse gases that have been produced in the past</w:t>
      </w:r>
      <w:r w:rsidR="000E6DD0">
        <w:t xml:space="preserve"> and</w:t>
      </w:r>
      <w:r w:rsidRPr="00407CEE">
        <w:t xml:space="preserve"> prior to the introduction of </w:t>
      </w:r>
      <w:r w:rsidR="000E6DD0">
        <w:t>s</w:t>
      </w:r>
      <w:r w:rsidRPr="00407CEE">
        <w:t xml:space="preserve">pecific </w:t>
      </w:r>
      <w:r w:rsidR="000E6DD0">
        <w:t>c</w:t>
      </w:r>
      <w:r w:rsidRPr="00407CEE">
        <w:t xml:space="preserve">arbon </w:t>
      </w:r>
      <w:r w:rsidR="002C25BC">
        <w:t xml:space="preserve">emission </w:t>
      </w:r>
      <w:r w:rsidR="000E6DD0">
        <w:t>r</w:t>
      </w:r>
      <w:r w:rsidRPr="00407CEE">
        <w:t xml:space="preserve">eduction </w:t>
      </w:r>
      <w:r w:rsidR="000E6DD0">
        <w:t>targets. Baseline emissions are the reference point against which emission reduction</w:t>
      </w:r>
      <w:r w:rsidR="002C25BC">
        <w:t>s</w:t>
      </w:r>
      <w:r w:rsidR="000E6DD0">
        <w:t xml:space="preserve"> can be measured.</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7335"/>
      </w:tblGrid>
      <w:tr w:rsidR="00407CEE" w:rsidRPr="00407CEE" w14:paraId="72530B58" w14:textId="77777777" w:rsidTr="03907375">
        <w:trPr>
          <w:trHeight w:val="450"/>
        </w:trPr>
        <w:tc>
          <w:tcPr>
            <w:tcW w:w="9450" w:type="dxa"/>
            <w:gridSpan w:val="2"/>
            <w:tcBorders>
              <w:top w:val="single" w:sz="6" w:space="0" w:color="000000" w:themeColor="accent1"/>
              <w:left w:val="single" w:sz="6" w:space="0" w:color="000000" w:themeColor="accent1"/>
              <w:bottom w:val="single" w:sz="6" w:space="0" w:color="000000" w:themeColor="accent1"/>
              <w:right w:val="single" w:sz="6" w:space="0" w:color="000000" w:themeColor="accent1"/>
            </w:tcBorders>
            <w:shd w:val="clear" w:color="auto" w:fill="auto"/>
            <w:hideMark/>
          </w:tcPr>
          <w:p w14:paraId="7C6CBB1C" w14:textId="4B830FBE" w:rsidR="00407CEE" w:rsidRPr="00407CEE" w:rsidRDefault="00E26F36" w:rsidP="00407CEE">
            <w:r>
              <w:t>Reporting</w:t>
            </w:r>
            <w:r w:rsidR="00407CEE" w:rsidRPr="00407CEE">
              <w:t xml:space="preserve"> Year: </w:t>
            </w:r>
            <w:r w:rsidR="00AC460B" w:rsidRPr="00AC460B">
              <w:t xml:space="preserve">Fiscal Year </w:t>
            </w:r>
            <w:r w:rsidR="0084432C">
              <w:t>20</w:t>
            </w:r>
            <w:r w:rsidR="00AC460B" w:rsidRPr="00AC460B">
              <w:t>22/23 - October 2022 to September 2023</w:t>
            </w:r>
          </w:p>
        </w:tc>
      </w:tr>
      <w:tr w:rsidR="00407CEE" w:rsidRPr="00407CEE" w14:paraId="1A82E558" w14:textId="77777777" w:rsidTr="03907375">
        <w:trPr>
          <w:trHeight w:val="450"/>
        </w:trPr>
        <w:tc>
          <w:tcPr>
            <w:tcW w:w="9450" w:type="dxa"/>
            <w:gridSpan w:val="2"/>
            <w:tcBorders>
              <w:top w:val="nil"/>
              <w:left w:val="single" w:sz="6" w:space="0" w:color="000000" w:themeColor="accent1"/>
              <w:bottom w:val="single" w:sz="6" w:space="0" w:color="000000" w:themeColor="accent1"/>
              <w:right w:val="single" w:sz="6" w:space="0" w:color="000000" w:themeColor="accent1"/>
            </w:tcBorders>
            <w:shd w:val="clear" w:color="auto" w:fill="auto"/>
            <w:hideMark/>
          </w:tcPr>
          <w:p w14:paraId="76E717A4" w14:textId="0B8C3868" w:rsidR="00407CEE" w:rsidRPr="00407CEE" w:rsidRDefault="00407CEE" w:rsidP="00407CEE">
            <w:r w:rsidRPr="00407CEE">
              <w:t>Additional Details relating to the Emissions calculations:</w:t>
            </w:r>
          </w:p>
        </w:tc>
      </w:tr>
      <w:tr w:rsidR="00407CEE" w:rsidRPr="00407CEE" w14:paraId="197E718E" w14:textId="77777777" w:rsidTr="03907375">
        <w:trPr>
          <w:trHeight w:val="450"/>
        </w:trPr>
        <w:tc>
          <w:tcPr>
            <w:tcW w:w="9450" w:type="dxa"/>
            <w:gridSpan w:val="2"/>
            <w:tcBorders>
              <w:top w:val="nil"/>
              <w:left w:val="single" w:sz="6" w:space="0" w:color="000000" w:themeColor="accent1"/>
              <w:bottom w:val="single" w:sz="6" w:space="0" w:color="000000" w:themeColor="accent1"/>
              <w:right w:val="single" w:sz="6" w:space="0" w:color="000000" w:themeColor="accent1"/>
            </w:tcBorders>
            <w:shd w:val="clear" w:color="auto" w:fill="auto"/>
            <w:hideMark/>
          </w:tcPr>
          <w:p w14:paraId="2AA510B3" w14:textId="00A2B19F" w:rsidR="00407CEE" w:rsidRPr="00407CEE" w:rsidRDefault="00407CEE" w:rsidP="00407CEE"/>
        </w:tc>
      </w:tr>
      <w:tr w:rsidR="00407CEE" w:rsidRPr="00407CEE" w14:paraId="306E07B1" w14:textId="77777777" w:rsidTr="03907375">
        <w:trPr>
          <w:trHeight w:val="450"/>
        </w:trPr>
        <w:tc>
          <w:tcPr>
            <w:tcW w:w="9450" w:type="dxa"/>
            <w:gridSpan w:val="2"/>
            <w:tcBorders>
              <w:top w:val="nil"/>
              <w:left w:val="single" w:sz="6" w:space="0" w:color="000000" w:themeColor="accent1"/>
              <w:bottom w:val="single" w:sz="6" w:space="0" w:color="000000" w:themeColor="accent1"/>
              <w:right w:val="single" w:sz="6" w:space="0" w:color="000000" w:themeColor="accent1"/>
            </w:tcBorders>
            <w:shd w:val="clear" w:color="auto" w:fill="auto"/>
            <w:hideMark/>
          </w:tcPr>
          <w:p w14:paraId="6655AA2E" w14:textId="76D9E5C4" w:rsidR="000E6DD0" w:rsidRDefault="00AC460B" w:rsidP="00407CEE">
            <w:r>
              <w:t>Our</w:t>
            </w:r>
            <w:r w:rsidR="000E6DD0">
              <w:t xml:space="preserve"> </w:t>
            </w:r>
            <w:r w:rsidRPr="00AC460B">
              <w:t xml:space="preserve">Fiscal Year </w:t>
            </w:r>
            <w:r w:rsidR="0084432C">
              <w:t>20</w:t>
            </w:r>
            <w:r w:rsidRPr="00AC460B">
              <w:t xml:space="preserve">22/23 </w:t>
            </w:r>
            <w:r w:rsidR="0084432C">
              <w:t>(</w:t>
            </w:r>
            <w:r w:rsidRPr="00AC460B">
              <w:t>October 2022 to September 2023</w:t>
            </w:r>
            <w:r w:rsidR="0084432C">
              <w:t>)</w:t>
            </w:r>
            <w:r>
              <w:t xml:space="preserve"> was chosen as our baseline year.</w:t>
            </w:r>
          </w:p>
          <w:p w14:paraId="7FA648D7" w14:textId="0D8F90F0" w:rsidR="00407CEE" w:rsidRDefault="000E6DD0" w:rsidP="000E6DD0">
            <w:pPr>
              <w:pStyle w:val="ListParagraph"/>
              <w:numPr>
                <w:ilvl w:val="0"/>
                <w:numId w:val="49"/>
              </w:numPr>
            </w:pPr>
            <w:r w:rsidRPr="000E6DD0">
              <w:rPr>
                <w:b/>
                <w:bCs/>
              </w:rPr>
              <w:t>Scope 1</w:t>
            </w:r>
            <w:r>
              <w:t xml:space="preserve"> covers direct emissions, including those associated with the direct consumption of natural gas, heating oil, diesel fuels as well as emissions associated with owned and leased vehicles and fugitive emissions. </w:t>
            </w:r>
          </w:p>
          <w:p w14:paraId="3862AF58" w14:textId="2B20BC29" w:rsidR="000E6DD0" w:rsidRDefault="000E6DD0" w:rsidP="000E6DD0">
            <w:pPr>
              <w:pStyle w:val="ListParagraph"/>
              <w:numPr>
                <w:ilvl w:val="0"/>
                <w:numId w:val="49"/>
              </w:numPr>
            </w:pPr>
            <w:r w:rsidRPr="000E6DD0">
              <w:rPr>
                <w:b/>
                <w:bCs/>
              </w:rPr>
              <w:t>Scope 2</w:t>
            </w:r>
            <w:r>
              <w:t xml:space="preserve"> covers indirect emissions including those associated with the purchase and consumption of local electricity and distinct heating energy.</w:t>
            </w:r>
          </w:p>
          <w:p w14:paraId="22D715DA" w14:textId="57B7F99D" w:rsidR="000E6DD0" w:rsidRPr="00407CEE" w:rsidRDefault="4032CD00" w:rsidP="000E6DD0">
            <w:pPr>
              <w:pStyle w:val="ListParagraph"/>
              <w:numPr>
                <w:ilvl w:val="0"/>
                <w:numId w:val="49"/>
              </w:numPr>
            </w:pPr>
            <w:r w:rsidRPr="03907375">
              <w:rPr>
                <w:b/>
                <w:bCs/>
              </w:rPr>
              <w:t>Scope 3</w:t>
            </w:r>
            <w:r>
              <w:t xml:space="preserve"> covers other indirect emissions such as business travel, hotel stays, wast</w:t>
            </w:r>
            <w:r w:rsidR="36A725FA">
              <w:t>e</w:t>
            </w:r>
            <w:r>
              <w:t xml:space="preserve"> disposal, upstream emissions from purchased fuels and electricity. Emissions from employees teleworking have also been factored in including estimates from home energy consumption. </w:t>
            </w:r>
          </w:p>
        </w:tc>
      </w:tr>
      <w:tr w:rsidR="0049274A" w:rsidRPr="00407CEE" w14:paraId="1C551092" w14:textId="77777777" w:rsidTr="03907375">
        <w:trPr>
          <w:trHeight w:val="450"/>
        </w:trPr>
        <w:tc>
          <w:tcPr>
            <w:tcW w:w="2115" w:type="dxa"/>
            <w:tcBorders>
              <w:top w:val="nil"/>
              <w:left w:val="single" w:sz="6" w:space="0" w:color="000000" w:themeColor="accent1"/>
              <w:bottom w:val="single" w:sz="6" w:space="0" w:color="000000" w:themeColor="accent1"/>
              <w:right w:val="single" w:sz="6" w:space="0" w:color="000000" w:themeColor="accent1"/>
            </w:tcBorders>
            <w:shd w:val="clear" w:color="auto" w:fill="auto"/>
            <w:hideMark/>
          </w:tcPr>
          <w:p w14:paraId="1CBA429B" w14:textId="77777777" w:rsidR="0049274A" w:rsidRPr="00407CEE" w:rsidRDefault="0049274A" w:rsidP="0049274A">
            <w:r w:rsidRPr="00407CEE">
              <w:t>Scope 1 </w:t>
            </w:r>
          </w:p>
        </w:tc>
        <w:tc>
          <w:tcPr>
            <w:tcW w:w="7335" w:type="dxa"/>
            <w:tcBorders>
              <w:top w:val="nil"/>
              <w:left w:val="nil"/>
              <w:bottom w:val="single" w:sz="6" w:space="0" w:color="000000" w:themeColor="accent1"/>
              <w:right w:val="single" w:sz="18" w:space="0" w:color="000000" w:themeColor="accent1"/>
            </w:tcBorders>
            <w:shd w:val="clear" w:color="auto" w:fill="auto"/>
            <w:hideMark/>
          </w:tcPr>
          <w:p w14:paraId="3099EE3B" w14:textId="301F4719" w:rsidR="0049274A" w:rsidRPr="00407CEE" w:rsidRDefault="0049274A" w:rsidP="0049274A">
            <w:r w:rsidRPr="001B12EF">
              <w:t>0.0</w:t>
            </w:r>
          </w:p>
        </w:tc>
      </w:tr>
      <w:tr w:rsidR="0049274A" w:rsidRPr="00407CEE" w14:paraId="29E4C288" w14:textId="77777777" w:rsidTr="03907375">
        <w:trPr>
          <w:trHeight w:val="450"/>
        </w:trPr>
        <w:tc>
          <w:tcPr>
            <w:tcW w:w="2115" w:type="dxa"/>
            <w:tcBorders>
              <w:top w:val="nil"/>
              <w:left w:val="single" w:sz="6" w:space="0" w:color="000000" w:themeColor="accent1"/>
              <w:bottom w:val="single" w:sz="6" w:space="0" w:color="000000" w:themeColor="accent1"/>
              <w:right w:val="single" w:sz="6" w:space="0" w:color="000000" w:themeColor="accent1"/>
            </w:tcBorders>
            <w:shd w:val="clear" w:color="auto" w:fill="auto"/>
            <w:hideMark/>
          </w:tcPr>
          <w:p w14:paraId="0669814B" w14:textId="77777777" w:rsidR="0049274A" w:rsidRPr="00407CEE" w:rsidRDefault="0049274A" w:rsidP="0049274A">
            <w:r w:rsidRPr="00407CEE">
              <w:t>Scope 2 </w:t>
            </w:r>
          </w:p>
        </w:tc>
        <w:tc>
          <w:tcPr>
            <w:tcW w:w="7335" w:type="dxa"/>
            <w:tcBorders>
              <w:top w:val="nil"/>
              <w:left w:val="nil"/>
              <w:bottom w:val="single" w:sz="6" w:space="0" w:color="000000" w:themeColor="accent1"/>
              <w:right w:val="single" w:sz="18" w:space="0" w:color="000000" w:themeColor="accent1"/>
            </w:tcBorders>
            <w:shd w:val="clear" w:color="auto" w:fill="auto"/>
            <w:hideMark/>
          </w:tcPr>
          <w:p w14:paraId="1891BBF7" w14:textId="406D9EA6" w:rsidR="0049274A" w:rsidRPr="00407CEE" w:rsidRDefault="0049274A" w:rsidP="0049274A">
            <w:r w:rsidRPr="001B12EF">
              <w:t>4.5</w:t>
            </w:r>
          </w:p>
        </w:tc>
      </w:tr>
      <w:tr w:rsidR="0049274A" w:rsidRPr="00407CEE" w14:paraId="757D5472" w14:textId="77777777" w:rsidTr="03907375">
        <w:trPr>
          <w:trHeight w:val="585"/>
        </w:trPr>
        <w:tc>
          <w:tcPr>
            <w:tcW w:w="2115" w:type="dxa"/>
            <w:tcBorders>
              <w:top w:val="nil"/>
              <w:left w:val="single" w:sz="6" w:space="0" w:color="000000" w:themeColor="accent1"/>
              <w:bottom w:val="single" w:sz="18" w:space="0" w:color="000000" w:themeColor="accent1"/>
              <w:right w:val="single" w:sz="6" w:space="0" w:color="000000" w:themeColor="accent1"/>
            </w:tcBorders>
            <w:shd w:val="clear" w:color="auto" w:fill="auto"/>
            <w:hideMark/>
          </w:tcPr>
          <w:p w14:paraId="4807A00A" w14:textId="77777777" w:rsidR="0049274A" w:rsidRPr="00407CEE" w:rsidRDefault="0049274A" w:rsidP="0049274A">
            <w:r w:rsidRPr="00407CEE">
              <w:t>Scope 3</w:t>
            </w:r>
          </w:p>
          <w:p w14:paraId="67938828" w14:textId="77777777" w:rsidR="0049274A" w:rsidRPr="00407CEE" w:rsidRDefault="0049274A" w:rsidP="0049274A">
            <w:r w:rsidRPr="00407CEE">
              <w:t>(Included Sources) </w:t>
            </w:r>
          </w:p>
        </w:tc>
        <w:tc>
          <w:tcPr>
            <w:tcW w:w="7335" w:type="dxa"/>
            <w:tcBorders>
              <w:top w:val="nil"/>
              <w:left w:val="nil"/>
              <w:bottom w:val="single" w:sz="18" w:space="0" w:color="000000" w:themeColor="accent1"/>
              <w:right w:val="single" w:sz="18" w:space="0" w:color="000000" w:themeColor="accent1"/>
            </w:tcBorders>
            <w:shd w:val="clear" w:color="auto" w:fill="auto"/>
            <w:hideMark/>
          </w:tcPr>
          <w:p w14:paraId="21DB4F48" w14:textId="74795B5F" w:rsidR="0049274A" w:rsidRPr="00407CEE" w:rsidRDefault="0049274A" w:rsidP="0049274A">
            <w:r w:rsidRPr="001B12EF">
              <w:t>202.4</w:t>
            </w:r>
          </w:p>
        </w:tc>
      </w:tr>
      <w:tr w:rsidR="00407CEE" w:rsidRPr="00407CEE" w14:paraId="45A17FB0" w14:textId="77777777" w:rsidTr="03907375">
        <w:trPr>
          <w:trHeight w:val="585"/>
        </w:trPr>
        <w:tc>
          <w:tcPr>
            <w:tcW w:w="2115" w:type="dxa"/>
            <w:tcBorders>
              <w:top w:val="single" w:sz="18" w:space="0" w:color="000000" w:themeColor="accent1"/>
              <w:left w:val="single" w:sz="6" w:space="0" w:color="000000" w:themeColor="accent1"/>
              <w:bottom w:val="single" w:sz="18" w:space="0" w:color="000000" w:themeColor="accent1"/>
              <w:right w:val="single" w:sz="6" w:space="0" w:color="000000" w:themeColor="accent1"/>
            </w:tcBorders>
            <w:shd w:val="clear" w:color="auto" w:fill="auto"/>
            <w:hideMark/>
          </w:tcPr>
          <w:p w14:paraId="641D8AB4" w14:textId="77777777" w:rsidR="00407CEE" w:rsidRPr="00407CEE" w:rsidRDefault="00407CEE" w:rsidP="00407CEE">
            <w:r w:rsidRPr="00407CEE">
              <w:t>Total Emissions </w:t>
            </w:r>
          </w:p>
        </w:tc>
        <w:tc>
          <w:tcPr>
            <w:tcW w:w="7335" w:type="dxa"/>
            <w:tcBorders>
              <w:top w:val="single" w:sz="18" w:space="0" w:color="000000" w:themeColor="accent1"/>
              <w:left w:val="nil"/>
              <w:bottom w:val="single" w:sz="18" w:space="0" w:color="000000" w:themeColor="accent1"/>
              <w:right w:val="single" w:sz="18" w:space="0" w:color="000000" w:themeColor="accent1"/>
            </w:tcBorders>
            <w:shd w:val="clear" w:color="auto" w:fill="auto"/>
            <w:hideMark/>
          </w:tcPr>
          <w:p w14:paraId="5C5F0DCE" w14:textId="7FF2FF1F" w:rsidR="00407CEE" w:rsidRPr="00407CEE" w:rsidRDefault="0049274A" w:rsidP="00407CEE">
            <w:r>
              <w:t>206.9</w:t>
            </w:r>
          </w:p>
        </w:tc>
      </w:tr>
      <w:tr w:rsidR="00353197" w:rsidRPr="00407CEE" w14:paraId="605635E4" w14:textId="77777777" w:rsidTr="03907375">
        <w:trPr>
          <w:trHeight w:val="585"/>
        </w:trPr>
        <w:tc>
          <w:tcPr>
            <w:tcW w:w="2115" w:type="dxa"/>
            <w:tcBorders>
              <w:top w:val="single" w:sz="18" w:space="0" w:color="000000" w:themeColor="accent1"/>
              <w:left w:val="single" w:sz="6" w:space="0" w:color="000000" w:themeColor="accent1"/>
              <w:bottom w:val="single" w:sz="6" w:space="0" w:color="000000" w:themeColor="accent1"/>
              <w:right w:val="single" w:sz="6" w:space="0" w:color="000000" w:themeColor="accent1"/>
            </w:tcBorders>
            <w:shd w:val="clear" w:color="auto" w:fill="auto"/>
          </w:tcPr>
          <w:p w14:paraId="6262713A" w14:textId="4F2FB835" w:rsidR="00353197" w:rsidRPr="00B7718C" w:rsidRDefault="00353197" w:rsidP="00407CEE">
            <w:r w:rsidRPr="00B7718C">
              <w:t>CO2</w:t>
            </w:r>
            <w:r w:rsidR="00377CEB" w:rsidRPr="00B7718C">
              <w:t xml:space="preserve"> tonnes</w:t>
            </w:r>
            <w:r w:rsidRPr="00B7718C">
              <w:t xml:space="preserve"> per person</w:t>
            </w:r>
          </w:p>
        </w:tc>
        <w:tc>
          <w:tcPr>
            <w:tcW w:w="7335" w:type="dxa"/>
            <w:tcBorders>
              <w:top w:val="single" w:sz="18" w:space="0" w:color="000000" w:themeColor="accent1"/>
              <w:left w:val="nil"/>
              <w:bottom w:val="single" w:sz="6" w:space="0" w:color="000000" w:themeColor="accent1"/>
              <w:right w:val="single" w:sz="18" w:space="0" w:color="000000" w:themeColor="accent1"/>
            </w:tcBorders>
            <w:shd w:val="clear" w:color="auto" w:fill="auto"/>
          </w:tcPr>
          <w:p w14:paraId="759E98BB" w14:textId="41CCE3E3" w:rsidR="00353197" w:rsidRPr="00B7718C" w:rsidRDefault="00353197" w:rsidP="00407CEE">
            <w:r w:rsidRPr="00B7718C">
              <w:t>1.51</w:t>
            </w:r>
          </w:p>
        </w:tc>
      </w:tr>
    </w:tbl>
    <w:p w14:paraId="0C0619E9" w14:textId="77777777" w:rsidR="00760BC4" w:rsidRDefault="00760BC4" w:rsidP="00353197">
      <w:pPr>
        <w:pStyle w:val="Heading2"/>
      </w:pPr>
    </w:p>
    <w:p w14:paraId="55EE799F" w14:textId="77777777" w:rsidR="00760BC4" w:rsidRDefault="00760BC4" w:rsidP="00353197">
      <w:pPr>
        <w:pStyle w:val="Heading2"/>
      </w:pPr>
    </w:p>
    <w:p w14:paraId="1759446B" w14:textId="2C586384" w:rsidR="00353197" w:rsidRDefault="00353197" w:rsidP="00353197">
      <w:pPr>
        <w:pStyle w:val="Heading2"/>
      </w:pPr>
      <w:r w:rsidRPr="00353197">
        <w:lastRenderedPageBreak/>
        <w:t>Current Emissions Reporting</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7335"/>
      </w:tblGrid>
      <w:tr w:rsidR="00353197" w:rsidRPr="00407CEE" w14:paraId="5F04B200" w14:textId="77777777" w:rsidTr="00BA3489">
        <w:trPr>
          <w:trHeight w:val="450"/>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DCDE630" w14:textId="083C8044" w:rsidR="00353197" w:rsidRPr="00407CEE" w:rsidRDefault="00353197" w:rsidP="00BA3489">
            <w:r>
              <w:t>Reporting</w:t>
            </w:r>
            <w:r w:rsidRPr="00407CEE">
              <w:t xml:space="preserve"> Year: </w:t>
            </w:r>
            <w:r w:rsidRPr="00AC460B">
              <w:t xml:space="preserve">Fiscal Year </w:t>
            </w:r>
            <w:r>
              <w:t>20</w:t>
            </w:r>
            <w:r w:rsidRPr="00AC460B">
              <w:t>2</w:t>
            </w:r>
            <w:r>
              <w:t>3</w:t>
            </w:r>
            <w:r w:rsidRPr="00AC460B">
              <w:t>/2</w:t>
            </w:r>
            <w:r>
              <w:t>4</w:t>
            </w:r>
            <w:r w:rsidRPr="00AC460B">
              <w:t xml:space="preserve"> - October 202</w:t>
            </w:r>
            <w:r>
              <w:t>3</w:t>
            </w:r>
            <w:r w:rsidRPr="00AC460B">
              <w:t xml:space="preserve"> to September 202</w:t>
            </w:r>
            <w:r>
              <w:t>4</w:t>
            </w:r>
          </w:p>
        </w:tc>
      </w:tr>
      <w:tr w:rsidR="00353197" w:rsidRPr="00407CEE" w14:paraId="3B5AB069" w14:textId="77777777" w:rsidTr="00BA3489">
        <w:trPr>
          <w:trHeight w:val="450"/>
        </w:trPr>
        <w:tc>
          <w:tcPr>
            <w:tcW w:w="9450" w:type="dxa"/>
            <w:gridSpan w:val="2"/>
            <w:tcBorders>
              <w:top w:val="nil"/>
              <w:left w:val="single" w:sz="6" w:space="0" w:color="000000"/>
              <w:bottom w:val="single" w:sz="6" w:space="0" w:color="000000"/>
              <w:right w:val="single" w:sz="6" w:space="0" w:color="000000"/>
            </w:tcBorders>
            <w:shd w:val="clear" w:color="auto" w:fill="auto"/>
            <w:hideMark/>
          </w:tcPr>
          <w:p w14:paraId="3FCCB360" w14:textId="77777777" w:rsidR="00353197" w:rsidRDefault="00353197" w:rsidP="00BA3489">
            <w:r w:rsidRPr="00407CEE">
              <w:t>Additional Details relating to the Emissions calculations:</w:t>
            </w:r>
          </w:p>
          <w:p w14:paraId="522D9FDD" w14:textId="1AA549B8" w:rsidR="000E6775" w:rsidRPr="00407CEE" w:rsidRDefault="000E6775" w:rsidP="00BA3489">
            <w:r>
              <w:t>We rent our office space</w:t>
            </w:r>
            <w:r w:rsidR="00760BC4">
              <w:t xml:space="preserve"> and lack control over the central heating within the building. Furthermore, we do not pay for gas directly, but it is included as a fixed cost (irrespective of use) in our rental agreement.</w:t>
            </w:r>
            <w:r>
              <w:t xml:space="preserve"> </w:t>
            </w:r>
            <w:r w:rsidR="00760BC4">
              <w:t xml:space="preserve">We believe that we </w:t>
            </w:r>
            <w:r>
              <w:t>do not have full operational control over our Scope 2 emissions</w:t>
            </w:r>
            <w:r w:rsidR="00760BC4">
              <w:t>, however emissions arising from our use of electricity and gas have been included in Scope 2 below.</w:t>
            </w:r>
          </w:p>
        </w:tc>
      </w:tr>
      <w:tr w:rsidR="00353197" w:rsidRPr="00407CEE" w14:paraId="22391676" w14:textId="77777777" w:rsidTr="00BA3489">
        <w:trPr>
          <w:trHeight w:val="450"/>
        </w:trPr>
        <w:tc>
          <w:tcPr>
            <w:tcW w:w="9450" w:type="dxa"/>
            <w:gridSpan w:val="2"/>
            <w:tcBorders>
              <w:top w:val="nil"/>
              <w:left w:val="single" w:sz="6" w:space="0" w:color="000000"/>
              <w:bottom w:val="single" w:sz="6" w:space="0" w:color="000000"/>
              <w:right w:val="single" w:sz="6" w:space="0" w:color="000000"/>
            </w:tcBorders>
            <w:shd w:val="clear" w:color="auto" w:fill="auto"/>
            <w:hideMark/>
          </w:tcPr>
          <w:p w14:paraId="50675202" w14:textId="77777777" w:rsidR="00353197" w:rsidRDefault="00353197" w:rsidP="00BA3489">
            <w:pPr>
              <w:pStyle w:val="ListParagraph"/>
              <w:numPr>
                <w:ilvl w:val="0"/>
                <w:numId w:val="49"/>
              </w:numPr>
            </w:pPr>
            <w:r w:rsidRPr="000E6DD0">
              <w:rPr>
                <w:b/>
                <w:bCs/>
              </w:rPr>
              <w:t>Scope 1</w:t>
            </w:r>
            <w:r>
              <w:t xml:space="preserve"> covers direct emissions, including those associated with the direct consumption of natural gas, heating oil, diesel fuels as well as emissions associated with owned and leased vehicles and fugitive emissions. </w:t>
            </w:r>
          </w:p>
          <w:p w14:paraId="26C1F849" w14:textId="77777777" w:rsidR="00353197" w:rsidRDefault="00353197" w:rsidP="00BA3489">
            <w:pPr>
              <w:pStyle w:val="ListParagraph"/>
              <w:numPr>
                <w:ilvl w:val="0"/>
                <w:numId w:val="49"/>
              </w:numPr>
            </w:pPr>
            <w:r w:rsidRPr="000E6DD0">
              <w:rPr>
                <w:b/>
                <w:bCs/>
              </w:rPr>
              <w:t>Scope 2</w:t>
            </w:r>
            <w:r>
              <w:t xml:space="preserve"> covers indirect emissions including those associated with the purchase and consumption of local electricity and distinct heating energy.</w:t>
            </w:r>
          </w:p>
          <w:p w14:paraId="7A5ECF06" w14:textId="77777777" w:rsidR="00353197" w:rsidRPr="00407CEE" w:rsidRDefault="00353197" w:rsidP="00BA3489">
            <w:pPr>
              <w:pStyle w:val="ListParagraph"/>
              <w:numPr>
                <w:ilvl w:val="0"/>
                <w:numId w:val="49"/>
              </w:numPr>
            </w:pPr>
            <w:r w:rsidRPr="000E6DD0">
              <w:rPr>
                <w:b/>
                <w:bCs/>
              </w:rPr>
              <w:t>Scope 3</w:t>
            </w:r>
            <w:r>
              <w:t xml:space="preserve"> covers other indirect emissions such as business travel, hotel stays, waste disposal, upstream emissions from purchased fuels and electricity. Emissions from employees teleworking have also been factored in including estimates from home energy consumption. </w:t>
            </w:r>
          </w:p>
        </w:tc>
      </w:tr>
      <w:tr w:rsidR="00353197" w:rsidRPr="00407CEE" w14:paraId="2E37D93A" w14:textId="77777777" w:rsidTr="00BA3489">
        <w:trPr>
          <w:trHeight w:val="450"/>
        </w:trPr>
        <w:tc>
          <w:tcPr>
            <w:tcW w:w="2115" w:type="dxa"/>
            <w:tcBorders>
              <w:top w:val="nil"/>
              <w:left w:val="single" w:sz="6" w:space="0" w:color="000000"/>
              <w:bottom w:val="single" w:sz="6" w:space="0" w:color="000000"/>
              <w:right w:val="single" w:sz="6" w:space="0" w:color="000000"/>
            </w:tcBorders>
            <w:shd w:val="clear" w:color="auto" w:fill="auto"/>
            <w:hideMark/>
          </w:tcPr>
          <w:p w14:paraId="14E7BD52" w14:textId="77777777" w:rsidR="00353197" w:rsidRPr="00407CEE" w:rsidRDefault="00353197" w:rsidP="00BA3489">
            <w:r w:rsidRPr="00407CEE">
              <w:t>Scope 1 </w:t>
            </w:r>
          </w:p>
        </w:tc>
        <w:tc>
          <w:tcPr>
            <w:tcW w:w="7335" w:type="dxa"/>
            <w:tcBorders>
              <w:top w:val="nil"/>
              <w:left w:val="nil"/>
              <w:bottom w:val="single" w:sz="6" w:space="0" w:color="000000"/>
              <w:right w:val="single" w:sz="18" w:space="0" w:color="000000"/>
            </w:tcBorders>
            <w:shd w:val="clear" w:color="auto" w:fill="auto"/>
            <w:hideMark/>
          </w:tcPr>
          <w:p w14:paraId="1956B3AE" w14:textId="77777777" w:rsidR="00353197" w:rsidRPr="00407CEE" w:rsidRDefault="00353197" w:rsidP="00BA3489">
            <w:r w:rsidRPr="001B12EF">
              <w:t>0.0</w:t>
            </w:r>
          </w:p>
        </w:tc>
      </w:tr>
      <w:tr w:rsidR="00353197" w:rsidRPr="00407CEE" w14:paraId="19EDFF44" w14:textId="77777777" w:rsidTr="00BA3489">
        <w:trPr>
          <w:trHeight w:val="450"/>
        </w:trPr>
        <w:tc>
          <w:tcPr>
            <w:tcW w:w="2115" w:type="dxa"/>
            <w:tcBorders>
              <w:top w:val="nil"/>
              <w:left w:val="single" w:sz="6" w:space="0" w:color="000000"/>
              <w:bottom w:val="single" w:sz="6" w:space="0" w:color="000000"/>
              <w:right w:val="single" w:sz="6" w:space="0" w:color="000000"/>
            </w:tcBorders>
            <w:shd w:val="clear" w:color="auto" w:fill="auto"/>
            <w:hideMark/>
          </w:tcPr>
          <w:p w14:paraId="2F9556B2" w14:textId="77777777" w:rsidR="00353197" w:rsidRPr="00407CEE" w:rsidRDefault="00353197" w:rsidP="00BA3489">
            <w:r w:rsidRPr="00407CEE">
              <w:t>Scope 2 </w:t>
            </w:r>
          </w:p>
        </w:tc>
        <w:tc>
          <w:tcPr>
            <w:tcW w:w="7335" w:type="dxa"/>
            <w:tcBorders>
              <w:top w:val="nil"/>
              <w:left w:val="nil"/>
              <w:bottom w:val="single" w:sz="6" w:space="0" w:color="000000"/>
              <w:right w:val="single" w:sz="18" w:space="0" w:color="000000"/>
            </w:tcBorders>
            <w:shd w:val="clear" w:color="auto" w:fill="auto"/>
            <w:hideMark/>
          </w:tcPr>
          <w:p w14:paraId="0F2BAF3A" w14:textId="5BDFCD9B" w:rsidR="00353197" w:rsidRPr="00407CEE" w:rsidRDefault="00353197" w:rsidP="00BA3489">
            <w:r>
              <w:t>13.2 tonnes</w:t>
            </w:r>
          </w:p>
        </w:tc>
      </w:tr>
      <w:tr w:rsidR="00353197" w:rsidRPr="00407CEE" w14:paraId="0C6B6301" w14:textId="77777777" w:rsidTr="00BA3489">
        <w:trPr>
          <w:trHeight w:val="585"/>
        </w:trPr>
        <w:tc>
          <w:tcPr>
            <w:tcW w:w="2115" w:type="dxa"/>
            <w:tcBorders>
              <w:top w:val="nil"/>
              <w:left w:val="single" w:sz="6" w:space="0" w:color="000000"/>
              <w:bottom w:val="single" w:sz="18" w:space="0" w:color="000000"/>
              <w:right w:val="single" w:sz="6" w:space="0" w:color="000000"/>
            </w:tcBorders>
            <w:shd w:val="clear" w:color="auto" w:fill="auto"/>
            <w:hideMark/>
          </w:tcPr>
          <w:p w14:paraId="5A669A36" w14:textId="77777777" w:rsidR="00353197" w:rsidRPr="00407CEE" w:rsidRDefault="00353197" w:rsidP="00BA3489">
            <w:r w:rsidRPr="00407CEE">
              <w:t>Scope 3</w:t>
            </w:r>
          </w:p>
          <w:p w14:paraId="047F6235" w14:textId="77777777" w:rsidR="00353197" w:rsidRDefault="00353197" w:rsidP="00BA3489">
            <w:r w:rsidRPr="00407CEE">
              <w:t>(Included Sources) </w:t>
            </w:r>
          </w:p>
          <w:p w14:paraId="2D36E089" w14:textId="6E2A1B68" w:rsidR="00353197" w:rsidRPr="00353197" w:rsidRDefault="00353197" w:rsidP="00BA3489">
            <w:pPr>
              <w:rPr>
                <w:i/>
                <w:iCs/>
              </w:rPr>
            </w:pPr>
            <w:r w:rsidRPr="00353197">
              <w:rPr>
                <w:i/>
                <w:iCs/>
              </w:rPr>
              <w:t>Focused on Category 6 and 7 emissions</w:t>
            </w:r>
          </w:p>
        </w:tc>
        <w:tc>
          <w:tcPr>
            <w:tcW w:w="7335" w:type="dxa"/>
            <w:tcBorders>
              <w:top w:val="nil"/>
              <w:left w:val="nil"/>
              <w:bottom w:val="single" w:sz="18" w:space="0" w:color="000000"/>
              <w:right w:val="single" w:sz="18" w:space="0" w:color="000000"/>
            </w:tcBorders>
            <w:shd w:val="clear" w:color="auto" w:fill="auto"/>
            <w:hideMark/>
          </w:tcPr>
          <w:p w14:paraId="2D50B639" w14:textId="4291CAFA" w:rsidR="00353197" w:rsidRPr="00407CEE" w:rsidRDefault="00353197" w:rsidP="00BA3489">
            <w:r>
              <w:t>190.9 tonnes</w:t>
            </w:r>
          </w:p>
        </w:tc>
      </w:tr>
      <w:tr w:rsidR="00353197" w:rsidRPr="00407CEE" w14:paraId="4F2842F8" w14:textId="77777777" w:rsidTr="00353197">
        <w:trPr>
          <w:trHeight w:val="585"/>
        </w:trPr>
        <w:tc>
          <w:tcPr>
            <w:tcW w:w="2115" w:type="dxa"/>
            <w:tcBorders>
              <w:top w:val="single" w:sz="18" w:space="0" w:color="000000"/>
              <w:left w:val="single" w:sz="6" w:space="0" w:color="000000"/>
              <w:bottom w:val="single" w:sz="18" w:space="0" w:color="000000"/>
              <w:right w:val="single" w:sz="6" w:space="0" w:color="000000"/>
            </w:tcBorders>
            <w:shd w:val="clear" w:color="auto" w:fill="auto"/>
            <w:hideMark/>
          </w:tcPr>
          <w:p w14:paraId="0EC1DCFB" w14:textId="77777777" w:rsidR="00353197" w:rsidRPr="00407CEE" w:rsidRDefault="00353197" w:rsidP="00BA3489">
            <w:r w:rsidRPr="00407CEE">
              <w:t>Total Emissions </w:t>
            </w:r>
          </w:p>
        </w:tc>
        <w:tc>
          <w:tcPr>
            <w:tcW w:w="7335" w:type="dxa"/>
            <w:tcBorders>
              <w:top w:val="single" w:sz="18" w:space="0" w:color="000000"/>
              <w:left w:val="nil"/>
              <w:bottom w:val="single" w:sz="18" w:space="0" w:color="000000"/>
              <w:right w:val="single" w:sz="18" w:space="0" w:color="000000"/>
            </w:tcBorders>
            <w:shd w:val="clear" w:color="auto" w:fill="auto"/>
            <w:hideMark/>
          </w:tcPr>
          <w:p w14:paraId="3E4744D4" w14:textId="408A95E8" w:rsidR="00353197" w:rsidRPr="00407CEE" w:rsidRDefault="00353197" w:rsidP="00BA3489">
            <w:r>
              <w:t>204.2 tonnes</w:t>
            </w:r>
          </w:p>
        </w:tc>
      </w:tr>
      <w:tr w:rsidR="00353197" w:rsidRPr="00407CEE" w14:paraId="6F5AAC1A" w14:textId="77777777" w:rsidTr="00BA3489">
        <w:trPr>
          <w:trHeight w:val="585"/>
        </w:trPr>
        <w:tc>
          <w:tcPr>
            <w:tcW w:w="2115" w:type="dxa"/>
            <w:tcBorders>
              <w:top w:val="single" w:sz="18" w:space="0" w:color="000000"/>
              <w:left w:val="single" w:sz="6" w:space="0" w:color="000000"/>
              <w:bottom w:val="single" w:sz="6" w:space="0" w:color="000000"/>
              <w:right w:val="single" w:sz="6" w:space="0" w:color="000000"/>
            </w:tcBorders>
            <w:shd w:val="clear" w:color="auto" w:fill="auto"/>
          </w:tcPr>
          <w:p w14:paraId="693B3A84" w14:textId="50E66AF8" w:rsidR="00353197" w:rsidRPr="00B7718C" w:rsidRDefault="00B7718C" w:rsidP="00BA3489">
            <w:r w:rsidRPr="00B7718C">
              <w:t xml:space="preserve">CO2 tonnes </w:t>
            </w:r>
            <w:r w:rsidR="00353197" w:rsidRPr="00B7718C">
              <w:t>per person</w:t>
            </w:r>
          </w:p>
        </w:tc>
        <w:tc>
          <w:tcPr>
            <w:tcW w:w="7335" w:type="dxa"/>
            <w:tcBorders>
              <w:top w:val="single" w:sz="18" w:space="0" w:color="000000"/>
              <w:left w:val="nil"/>
              <w:bottom w:val="single" w:sz="6" w:space="0" w:color="000000"/>
              <w:right w:val="single" w:sz="18" w:space="0" w:color="000000"/>
            </w:tcBorders>
            <w:shd w:val="clear" w:color="auto" w:fill="auto"/>
          </w:tcPr>
          <w:p w14:paraId="2040C1E2" w14:textId="0566011E" w:rsidR="00353197" w:rsidRPr="00B7718C" w:rsidRDefault="00353197" w:rsidP="00BA3489">
            <w:r w:rsidRPr="00B7718C">
              <w:t>1.63</w:t>
            </w:r>
          </w:p>
        </w:tc>
      </w:tr>
    </w:tbl>
    <w:p w14:paraId="2C8ECFFD" w14:textId="77777777" w:rsidR="00353197" w:rsidRPr="00353197" w:rsidRDefault="00353197" w:rsidP="00353197"/>
    <w:p w14:paraId="2ED64E68" w14:textId="7C7FAC68" w:rsidR="009128F1" w:rsidRDefault="00407CEE" w:rsidP="009128F1">
      <w:pPr>
        <w:pStyle w:val="Heading2"/>
      </w:pPr>
      <w:r>
        <w:t>Emissions Reduction Targets</w:t>
      </w:r>
    </w:p>
    <w:p w14:paraId="7B1D5B50" w14:textId="1B02B8D4" w:rsidR="002E7154" w:rsidRDefault="00407CEE" w:rsidP="00407CEE">
      <w:r w:rsidRPr="00407CEE">
        <w:t xml:space="preserve">We have committed to net zero by </w:t>
      </w:r>
      <w:r w:rsidR="00772C4C">
        <w:t>20</w:t>
      </w:r>
      <w:r w:rsidR="00DA4D3C">
        <w:t>40</w:t>
      </w:r>
      <w:r w:rsidRPr="00407CEE">
        <w:t xml:space="preserve">. </w:t>
      </w:r>
      <w:r w:rsidR="00CA5A79">
        <w:t>We</w:t>
      </w:r>
      <w:r w:rsidRPr="00407CEE">
        <w:t xml:space="preserve"> </w:t>
      </w:r>
      <w:r w:rsidR="0013707B">
        <w:t>have</w:t>
      </w:r>
      <w:r w:rsidRPr="00407CEE">
        <w:t xml:space="preserve"> </w:t>
      </w:r>
      <w:r w:rsidR="0013707B">
        <w:t>formed</w:t>
      </w:r>
      <w:r w:rsidRPr="00407CEE">
        <w:t xml:space="preserve"> a cross-team working </w:t>
      </w:r>
      <w:r w:rsidR="0013707B">
        <w:t xml:space="preserve">group </w:t>
      </w:r>
      <w:r w:rsidRPr="00407CEE">
        <w:t xml:space="preserve">which </w:t>
      </w:r>
      <w:r w:rsidR="00CA5A79">
        <w:t>has</w:t>
      </w:r>
      <w:r w:rsidR="00CA5A79" w:rsidRPr="00407CEE">
        <w:t xml:space="preserve"> </w:t>
      </w:r>
      <w:r w:rsidRPr="00407CEE">
        <w:t>set</w:t>
      </w:r>
      <w:r w:rsidR="002C25BC">
        <w:t xml:space="preserve"> targets and identif</w:t>
      </w:r>
      <w:r w:rsidR="00CA5A79">
        <w:t>ied</w:t>
      </w:r>
      <w:r w:rsidR="002C25BC">
        <w:t xml:space="preserve"> initiatives to achieve </w:t>
      </w:r>
      <w:r w:rsidR="00CA5A79">
        <w:t>this target</w:t>
      </w:r>
      <w:r w:rsidR="002C25BC">
        <w:t>.</w:t>
      </w:r>
      <w:r w:rsidRPr="00407CEE">
        <w:t xml:space="preserve"> </w:t>
      </w:r>
      <w:r w:rsidR="00CA5A79">
        <w:t xml:space="preserve">Further </w:t>
      </w:r>
      <w:r w:rsidR="00377CEB">
        <w:t>di</w:t>
      </w:r>
      <w:r w:rsidR="002C25BC">
        <w:t>scussion of these will be included in the next revision of this plan</w:t>
      </w:r>
      <w:r w:rsidRPr="00407CEE">
        <w:t>.</w:t>
      </w:r>
      <w:r>
        <w:t xml:space="preserve"> This</w:t>
      </w:r>
      <w:r w:rsidR="002C25BC">
        <w:t xml:space="preserve"> revision </w:t>
      </w:r>
      <w:r>
        <w:t>will be no more than one year from the publication of this plan.</w:t>
      </w:r>
    </w:p>
    <w:p w14:paraId="2E811E2D" w14:textId="77777777" w:rsidR="00760BC4" w:rsidRDefault="00760BC4" w:rsidP="00407CEE">
      <w:pPr>
        <w:pStyle w:val="Heading2"/>
      </w:pPr>
    </w:p>
    <w:p w14:paraId="41979E78" w14:textId="71BE599F" w:rsidR="00407CEE" w:rsidRDefault="00407CEE" w:rsidP="00407CEE">
      <w:pPr>
        <w:pStyle w:val="Heading2"/>
      </w:pPr>
      <w:r>
        <w:lastRenderedPageBreak/>
        <w:t xml:space="preserve">Completed Carbon Reduction Initiatives </w:t>
      </w:r>
    </w:p>
    <w:p w14:paraId="18F72BD4" w14:textId="11A24D1F" w:rsidR="00407CEE" w:rsidRDefault="00407CEE" w:rsidP="00407CEE">
      <w:r w:rsidRPr="00407CEE">
        <w:t xml:space="preserve">SF has policies on Environmental and Sustainable Travel and Ethical Procurement. We restrict travel to necessary events and </w:t>
      </w:r>
      <w:r w:rsidR="000B213E">
        <w:t>prioritise</w:t>
      </w:r>
      <w:r w:rsidRPr="00407CEE">
        <w:t xml:space="preserve"> purchas</w:t>
      </w:r>
      <w:r w:rsidR="000B213E">
        <w:t>ing</w:t>
      </w:r>
      <w:r w:rsidRPr="00407CEE">
        <w:t xml:space="preserve"> goods from responsible and sustainable sources, including electronics that are easily recyclable. We operate a hybrid model that relies on digital communication and </w:t>
      </w:r>
      <w:r w:rsidR="00760BC4">
        <w:t>minimises both</w:t>
      </w:r>
      <w:r w:rsidRPr="00407CEE">
        <w:t xml:space="preserve"> printing</w:t>
      </w:r>
      <w:r w:rsidR="00CA5A79">
        <w:t xml:space="preserve"> </w:t>
      </w:r>
      <w:r w:rsidR="00760BC4">
        <w:t>and</w:t>
      </w:r>
      <w:r w:rsidR="00CA5A79">
        <w:t xml:space="preserve"> commuting.</w:t>
      </w:r>
      <w:r w:rsidR="008273EF">
        <w:t xml:space="preserve"> Over the past year, we have improved our office-based waste managemen</w:t>
      </w:r>
      <w:r w:rsidR="00760BC4">
        <w:t>t and have assessed how to socialise low-carbon practices in our business.</w:t>
      </w:r>
    </w:p>
    <w:p w14:paraId="59D3CD90" w14:textId="103E4842" w:rsidR="00CA5A79" w:rsidRDefault="00CA5A79" w:rsidP="00CA5A79">
      <w:pPr>
        <w:pStyle w:val="Heading2"/>
      </w:pPr>
      <w:r>
        <w:t xml:space="preserve">Future Carbon Reduction Initiatives </w:t>
      </w:r>
    </w:p>
    <w:p w14:paraId="22BD38EC" w14:textId="051AEBB8" w:rsidR="00CA5A79" w:rsidRDefault="00CA5A79" w:rsidP="00407CEE">
      <w:r>
        <w:t xml:space="preserve">Currently, we are in the process of moving </w:t>
      </w:r>
      <w:r w:rsidR="00760BC4">
        <w:t xml:space="preserve">from </w:t>
      </w:r>
      <w:r>
        <w:t xml:space="preserve">our </w:t>
      </w:r>
      <w:r w:rsidR="00760BC4">
        <w:t xml:space="preserve">rented </w:t>
      </w:r>
      <w:r>
        <w:t>office</w:t>
      </w:r>
      <w:r w:rsidR="00760BC4">
        <w:t xml:space="preserve"> space to a different one</w:t>
      </w:r>
      <w:r>
        <w:t xml:space="preserve">. Given that emissions arising from our rented office form the entirety of our Scope 1 and 2 emissions, Social Finance recognises this as a critical juncture to drive emission reductions. As a result, we are considering a variety of factors in this new office, including considering candidates’ BREAAM assessment (where </w:t>
      </w:r>
      <w:r w:rsidR="00760BC4">
        <w:t>available</w:t>
      </w:r>
      <w:r>
        <w:t>).</w:t>
      </w:r>
      <w:r w:rsidR="008273EF">
        <w:t xml:space="preserve"> </w:t>
      </w:r>
    </w:p>
    <w:p w14:paraId="3862FE45" w14:textId="5C03C28F" w:rsidR="008273EF" w:rsidRDefault="008273EF" w:rsidP="00407CEE">
      <w:r>
        <w:t>In terms of Scope 3 Category 6 emissions, arising from business travel, our largest team has implemented sustainable travel and accommodation policies over the past year, and has committed to assessing the carbon footprint of trips at the point of booking.</w:t>
      </w:r>
      <w:r w:rsidR="00760BC4">
        <w:t xml:space="preserve"> Furthermore, as an organisation we are assessing the possibility of purchasing carbon offsets for difficult-to-abate travel emissions, where this is financially feasible</w:t>
      </w:r>
      <w:r w:rsidR="005C5F5A">
        <w:t>, and booking the</w:t>
      </w:r>
      <w:r w:rsidR="000A511D">
        <w:t xml:space="preserve"> least carbon intensive form of transport, where possible</w:t>
      </w:r>
      <w:r w:rsidR="00760BC4">
        <w:t xml:space="preserve">. </w:t>
      </w:r>
    </w:p>
    <w:p w14:paraId="5D592E7E" w14:textId="388E5E5E" w:rsidR="00407CEE" w:rsidRDefault="008273EF" w:rsidP="00407CEE">
      <w:r>
        <w:t>Over the next year,</w:t>
      </w:r>
      <w:r w:rsidR="00407CEE">
        <w:t xml:space="preserve"> </w:t>
      </w:r>
      <w:r>
        <w:t xml:space="preserve">the Sustainability Working Group </w:t>
      </w:r>
      <w:r w:rsidR="002F0A81">
        <w:t>will take steps to i</w:t>
      </w:r>
      <w:r>
        <w:t>nstitutionalise sustainable practices throughout our business</w:t>
      </w:r>
      <w:r w:rsidR="00407CEE">
        <w:t xml:space="preserve"> </w:t>
      </w:r>
      <w:r w:rsidR="00760BC4">
        <w:t>including through</w:t>
      </w:r>
      <w:r w:rsidR="007C6FA4">
        <w:t xml:space="preserve"> </w:t>
      </w:r>
      <w:r w:rsidR="006A142A">
        <w:t>reviewing our environmental and sustainable travel policy to explore ways of reducing travel</w:t>
      </w:r>
      <w:r w:rsidR="007C6FA4">
        <w:t>-related emissions</w:t>
      </w:r>
      <w:r w:rsidR="006A142A">
        <w:t xml:space="preserve">. </w:t>
      </w:r>
    </w:p>
    <w:p w14:paraId="30E2B580" w14:textId="710D8448" w:rsidR="00407CEE" w:rsidRDefault="006A142A" w:rsidP="006A142A">
      <w:pPr>
        <w:pStyle w:val="Heading2"/>
      </w:pPr>
      <w:r>
        <w:t>Declaration and Sign Off</w:t>
      </w:r>
    </w:p>
    <w:p w14:paraId="77D2C470" w14:textId="36960F86" w:rsidR="006A142A" w:rsidRDefault="006A142A" w:rsidP="006A142A">
      <w:r>
        <w:t xml:space="preserve">This Carbon Reduction Plan has been completed in accordance with PPN 06/21 and associated guidance and reporting standard for Carbon Reduction Plans. </w:t>
      </w:r>
    </w:p>
    <w:p w14:paraId="47CFF764" w14:textId="6FA6B4F3" w:rsidR="006A142A" w:rsidRDefault="006A142A" w:rsidP="006A142A">
      <w:r>
        <w:t xml:space="preserve">Emissions have been reported and recorded in accordance with the published reporting standard for Carbon Reduction Plans and the GHG Reporting Protocol corporate standard and uses the appropriate Government emission conversion factors for greenhouse gas company reporting. </w:t>
      </w:r>
    </w:p>
    <w:p w14:paraId="4AEE2C6A" w14:textId="6978B06E" w:rsidR="006A142A" w:rsidRDefault="006A142A" w:rsidP="006A142A">
      <w:r>
        <w:t xml:space="preserve">Scope 1 and Scope 2 emissions have been reported in accordance with SECR requirements, and the required subset of Scope 3 emissions have been reported in accordance with the published reporting standard for Carbon Reduction Plans and the Corporate Value Chain (Scope 3) Standard. </w:t>
      </w:r>
    </w:p>
    <w:p w14:paraId="2AE1E4F9" w14:textId="759BAA13" w:rsidR="006A142A" w:rsidRDefault="006A142A" w:rsidP="006A142A">
      <w:r>
        <w:t>This Carbon Reduction Plan has been reviewed and signed off by the board of directors.</w:t>
      </w:r>
    </w:p>
    <w:p w14:paraId="3671AF43" w14:textId="7310D93D" w:rsidR="006A142A" w:rsidRDefault="006A142A" w:rsidP="006A142A">
      <w:r>
        <w:t xml:space="preserve">Signed on behalf of Social Finance </w:t>
      </w:r>
    </w:p>
    <w:p w14:paraId="425D5FA7" w14:textId="3DE5868C" w:rsidR="006A142A" w:rsidRDefault="006A142A" w:rsidP="006A142A">
      <w:r>
        <w:t>Adam Swersky</w:t>
      </w:r>
    </w:p>
    <w:p w14:paraId="132B59FF" w14:textId="296788EB" w:rsidR="006A142A" w:rsidRDefault="006A142A" w:rsidP="006A142A">
      <w:r>
        <w:t>Chief Executive Officer</w:t>
      </w:r>
    </w:p>
    <w:p w14:paraId="5168C84F" w14:textId="746BD6B6" w:rsidR="006A142A" w:rsidRPr="006A142A" w:rsidRDefault="006A142A" w:rsidP="006A142A">
      <w:r>
        <w:t xml:space="preserve">Date: </w:t>
      </w:r>
      <w:r w:rsidR="00A930D0">
        <w:t>28 November 2024</w:t>
      </w:r>
    </w:p>
    <w:sectPr w:rsidR="006A142A" w:rsidRPr="006A142A" w:rsidSect="002E7154">
      <w:headerReference w:type="default" r:id="rId11"/>
      <w:footerReference w:type="default" r:id="rId12"/>
      <w:headerReference w:type="first" r:id="rId13"/>
      <w:footerReference w:type="first" r:id="rId14"/>
      <w:pgSz w:w="11906" w:h="16838" w:code="9"/>
      <w:pgMar w:top="680" w:right="917" w:bottom="397" w:left="680" w:header="567" w:footer="488" w:gutter="0"/>
      <w:cols w:space="34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0A8C" w14:textId="77777777" w:rsidR="00CC2934" w:rsidRDefault="00CC2934" w:rsidP="000D4AA9">
      <w:r>
        <w:separator/>
      </w:r>
    </w:p>
    <w:p w14:paraId="3A5C9618" w14:textId="77777777" w:rsidR="00CC2934" w:rsidRDefault="00CC2934" w:rsidP="000D4AA9"/>
    <w:p w14:paraId="0CF6EC84" w14:textId="77777777" w:rsidR="00CC2934" w:rsidRDefault="00CC2934" w:rsidP="000D4AA9"/>
    <w:p w14:paraId="77DC369A" w14:textId="77777777" w:rsidR="00CC2934" w:rsidRDefault="00CC2934" w:rsidP="000D4AA9"/>
    <w:p w14:paraId="5627AA0E" w14:textId="77777777" w:rsidR="00CC2934" w:rsidRDefault="00CC2934" w:rsidP="000D4AA9"/>
  </w:endnote>
  <w:endnote w:type="continuationSeparator" w:id="0">
    <w:p w14:paraId="6C2DAE63" w14:textId="77777777" w:rsidR="00CC2934" w:rsidRDefault="00CC2934" w:rsidP="000D4AA9">
      <w:r>
        <w:continuationSeparator/>
      </w:r>
    </w:p>
    <w:p w14:paraId="2F87FA56" w14:textId="77777777" w:rsidR="00CC2934" w:rsidRDefault="00CC2934" w:rsidP="000D4AA9"/>
    <w:p w14:paraId="0E9B7E27" w14:textId="77777777" w:rsidR="00CC2934" w:rsidRDefault="00CC2934" w:rsidP="000D4AA9"/>
    <w:p w14:paraId="7E434786" w14:textId="77777777" w:rsidR="00CC2934" w:rsidRDefault="00CC2934" w:rsidP="000D4AA9"/>
    <w:p w14:paraId="761BEA12" w14:textId="77777777" w:rsidR="00CC2934" w:rsidRDefault="00CC2934" w:rsidP="000D4AA9"/>
  </w:endnote>
  <w:endnote w:type="continuationNotice" w:id="1">
    <w:p w14:paraId="2F0A5065" w14:textId="77777777" w:rsidR="00CC2934" w:rsidRDefault="00CC2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lka Bold">
    <w:charset w:val="4D"/>
    <w:family w:val="auto"/>
    <w:pitch w:val="variable"/>
    <w:sig w:usb0="00000007" w:usb1="00000000" w:usb2="00000000" w:usb3="00000000" w:csb0="00000093"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7"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60"/>
      <w:gridCol w:w="8427"/>
    </w:tblGrid>
    <w:tr w:rsidR="00473C7A" w:rsidRPr="004F649F" w14:paraId="6CE6DFDC" w14:textId="77777777" w:rsidTr="009D5D09">
      <w:trPr>
        <w:trHeight w:hRule="exact" w:val="433"/>
      </w:trPr>
      <w:tc>
        <w:tcPr>
          <w:tcW w:w="1960" w:type="dxa"/>
          <w:vAlign w:val="bottom"/>
        </w:tcPr>
        <w:p w14:paraId="09871721" w14:textId="77777777" w:rsidR="00473C7A" w:rsidRPr="004F649F" w:rsidRDefault="00473C7A" w:rsidP="00ED5B07">
          <w:pPr>
            <w:rPr>
              <w:rStyle w:val="PageNumber"/>
              <w:b/>
              <w:bCs/>
            </w:rPr>
          </w:pPr>
          <w:r>
            <w:rPr>
              <w:rStyle w:val="PageNumber"/>
              <w:b/>
              <w:bCs/>
            </w:rPr>
            <w:fldChar w:fldCharType="begin"/>
          </w:r>
          <w:r>
            <w:rPr>
              <w:rStyle w:val="PageNumber"/>
            </w:rPr>
            <w:instrText xml:space="preserve"> PAGE  \* Arabic  \* MERGEFORMAT </w:instrText>
          </w:r>
          <w:r>
            <w:rPr>
              <w:rStyle w:val="PageNumber"/>
              <w:b/>
              <w:bCs/>
            </w:rPr>
            <w:fldChar w:fldCharType="separate"/>
          </w:r>
          <w:r>
            <w:rPr>
              <w:rStyle w:val="PageNumber"/>
            </w:rPr>
            <w:t>1</w:t>
          </w:r>
          <w:r>
            <w:rPr>
              <w:rStyle w:val="PageNumber"/>
              <w:b/>
              <w:bCs/>
            </w:rPr>
            <w:fldChar w:fldCharType="end"/>
          </w:r>
        </w:p>
      </w:tc>
      <w:tc>
        <w:tcPr>
          <w:tcW w:w="8427" w:type="dxa"/>
          <w:vAlign w:val="bottom"/>
        </w:tcPr>
        <w:p w14:paraId="1E8EF201" w14:textId="37A10416" w:rsidR="00473C7A" w:rsidRPr="004F649F" w:rsidRDefault="00473C7A" w:rsidP="000D4AA9">
          <w:pPr>
            <w:pStyle w:val="Footer"/>
          </w:pPr>
          <w:r w:rsidRPr="004F649F">
            <w:t xml:space="preserve">Social Finance is authorised and </w:t>
          </w:r>
          <w:r w:rsidR="002E7154">
            <w:t>regulated</w:t>
          </w:r>
          <w:r w:rsidRPr="004F649F">
            <w:t xml:space="preserve"> by the Financial Conduct Authority </w:t>
          </w:r>
          <w:r w:rsidR="002E7154">
            <w:t>FCA</w:t>
          </w:r>
          <w:r w:rsidRPr="004F649F">
            <w:t xml:space="preserve"> No. 497568</w:t>
          </w:r>
        </w:p>
      </w:tc>
    </w:tr>
  </w:tbl>
  <w:p w14:paraId="7026F068" w14:textId="77777777" w:rsidR="006951DF" w:rsidRDefault="006951DF" w:rsidP="009D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44"/>
      <w:gridCol w:w="8365"/>
    </w:tblGrid>
    <w:tr w:rsidR="00473C7A" w:rsidRPr="004F649F" w14:paraId="0AADD8E2" w14:textId="77777777" w:rsidTr="00CB73ED">
      <w:trPr>
        <w:trHeight w:hRule="exact" w:val="433"/>
      </w:trPr>
      <w:tc>
        <w:tcPr>
          <w:tcW w:w="943" w:type="pct"/>
          <w:vAlign w:val="bottom"/>
        </w:tcPr>
        <w:p w14:paraId="67C2169D" w14:textId="77777777" w:rsidR="00473C7A" w:rsidRPr="003D29AD" w:rsidRDefault="00473C7A" w:rsidP="0016515F">
          <w:pPr>
            <w:spacing w:line="240" w:lineRule="auto"/>
            <w:rPr>
              <w:rStyle w:val="PageNumber"/>
            </w:rPr>
          </w:pPr>
          <w:r w:rsidRPr="003D29AD">
            <w:rPr>
              <w:rStyle w:val="PageNumber"/>
            </w:rPr>
            <w:fldChar w:fldCharType="begin"/>
          </w:r>
          <w:r w:rsidRPr="003D29AD">
            <w:rPr>
              <w:rStyle w:val="PageNumber"/>
            </w:rPr>
            <w:instrText xml:space="preserve"> PAGE  \* Arabic  \* MERGEFORMAT </w:instrText>
          </w:r>
          <w:r w:rsidRPr="003D29AD">
            <w:rPr>
              <w:rStyle w:val="PageNumber"/>
            </w:rPr>
            <w:fldChar w:fldCharType="separate"/>
          </w:r>
          <w:r w:rsidRPr="003D29AD">
            <w:rPr>
              <w:rStyle w:val="PageNumber"/>
            </w:rPr>
            <w:t>1</w:t>
          </w:r>
          <w:r w:rsidRPr="003D29AD">
            <w:rPr>
              <w:rStyle w:val="PageNumber"/>
            </w:rPr>
            <w:fldChar w:fldCharType="end"/>
          </w:r>
        </w:p>
      </w:tc>
      <w:tc>
        <w:tcPr>
          <w:tcW w:w="4057" w:type="pct"/>
          <w:vAlign w:val="bottom"/>
        </w:tcPr>
        <w:p w14:paraId="1BEA683E" w14:textId="23516E34" w:rsidR="00473C7A" w:rsidRPr="004F649F" w:rsidRDefault="00473C7A" w:rsidP="0016515F">
          <w:pPr>
            <w:pStyle w:val="Footer"/>
          </w:pPr>
          <w:r w:rsidRPr="004F649F">
            <w:t xml:space="preserve">Social Finance is authorised and </w:t>
          </w:r>
          <w:r w:rsidR="002E7154">
            <w:t>regulated</w:t>
          </w:r>
          <w:r w:rsidRPr="004F649F">
            <w:t xml:space="preserve"> by the Financial Conduct Authority </w:t>
          </w:r>
          <w:r w:rsidR="002E7154">
            <w:t>FCA</w:t>
          </w:r>
          <w:r w:rsidRPr="004F649F">
            <w:t xml:space="preserve"> No. 497568</w:t>
          </w:r>
        </w:p>
      </w:tc>
    </w:tr>
  </w:tbl>
  <w:p w14:paraId="4A661F15" w14:textId="77777777" w:rsidR="006951DF" w:rsidRDefault="006951DF" w:rsidP="0016515F">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BB80" w14:textId="77777777" w:rsidR="00CC2934" w:rsidRDefault="00CC2934" w:rsidP="000D4AA9">
      <w:r>
        <w:separator/>
      </w:r>
    </w:p>
    <w:p w14:paraId="38C40AF9" w14:textId="77777777" w:rsidR="00CC2934" w:rsidRDefault="00CC2934" w:rsidP="000D4AA9"/>
  </w:footnote>
  <w:footnote w:type="continuationSeparator" w:id="0">
    <w:p w14:paraId="2E493A69" w14:textId="77777777" w:rsidR="00CC2934" w:rsidRDefault="00CC2934" w:rsidP="000D4AA9">
      <w:r>
        <w:continuationSeparator/>
      </w:r>
    </w:p>
    <w:p w14:paraId="4A528751" w14:textId="77777777" w:rsidR="00CC2934" w:rsidRDefault="00CC2934" w:rsidP="000D4AA9"/>
  </w:footnote>
  <w:footnote w:type="continuationNotice" w:id="1">
    <w:p w14:paraId="27D72568" w14:textId="77777777" w:rsidR="00CC2934" w:rsidRDefault="00CC2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93"/>
      <w:gridCol w:w="3065"/>
      <w:gridCol w:w="3718"/>
    </w:tblGrid>
    <w:tr w:rsidR="00473C7A" w:rsidRPr="0061169F" w14:paraId="3FFADFBB" w14:textId="77777777" w:rsidTr="00407CEE">
      <w:trPr>
        <w:trHeight w:hRule="exact" w:val="835"/>
      </w:trPr>
      <w:tc>
        <w:tcPr>
          <w:tcW w:w="3993" w:type="dxa"/>
        </w:tcPr>
        <w:p w14:paraId="17649125" w14:textId="77777777" w:rsidR="00473C7A" w:rsidRPr="0061169F" w:rsidRDefault="00473C7A" w:rsidP="00ED5B07">
          <w:pPr>
            <w:pStyle w:val="Contactsautomatic"/>
          </w:pPr>
        </w:p>
      </w:tc>
      <w:tc>
        <w:tcPr>
          <w:tcW w:w="3065" w:type="dxa"/>
        </w:tcPr>
        <w:p w14:paraId="08210878" w14:textId="77777777" w:rsidR="00473C7A" w:rsidRPr="0061169F" w:rsidRDefault="00473C7A" w:rsidP="00ED5B07">
          <w:pPr>
            <w:pStyle w:val="Contactsautomatic"/>
          </w:pPr>
          <w:r w:rsidRPr="0061169F">
            <w:rPr>
              <w:b/>
              <w:bCs/>
            </w:rPr>
            <w:t>Social Finance Limited</w:t>
          </w:r>
          <w:r w:rsidRPr="0061169F">
            <w:br/>
            <w:t xml:space="preserve"> +44 (0) 20 7770 6836</w:t>
          </w:r>
        </w:p>
      </w:tc>
      <w:tc>
        <w:tcPr>
          <w:tcW w:w="3718" w:type="dxa"/>
        </w:tcPr>
        <w:p w14:paraId="764E96C4" w14:textId="77777777" w:rsidR="00473C7A" w:rsidRPr="0061169F" w:rsidRDefault="00473C7A" w:rsidP="00ED5B07">
          <w:pPr>
            <w:pStyle w:val="Contactsautomatic"/>
          </w:pPr>
          <w:r w:rsidRPr="0061169F">
            <w:t>87 Vauxhall Walk, London SE11 5HJ socialfinance.org.uk</w:t>
          </w:r>
        </w:p>
      </w:tc>
    </w:tr>
  </w:tbl>
  <w:p w14:paraId="328F58B3" w14:textId="5EF2242E" w:rsidR="006951DF" w:rsidRDefault="00473C7A" w:rsidP="000D4AA9">
    <w:r>
      <w:rPr>
        <w:noProof/>
      </w:rPr>
      <w:drawing>
        <wp:anchor distT="0" distB="0" distL="114300" distR="114300" simplePos="0" relativeHeight="251658241" behindDoc="0" locked="1" layoutInCell="1" allowOverlap="1" wp14:anchorId="0930F5B0" wp14:editId="364E1F6E">
          <wp:simplePos x="0" y="0"/>
          <wp:positionH relativeFrom="page">
            <wp:posOffset>433070</wp:posOffset>
          </wp:positionH>
          <wp:positionV relativeFrom="page">
            <wp:posOffset>431800</wp:posOffset>
          </wp:positionV>
          <wp:extent cx="1651904" cy="349200"/>
          <wp:effectExtent l="0" t="0" r="5715" b="0"/>
          <wp:wrapNone/>
          <wp:docPr id="1655943682" name="Picture 165594368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51904" cy="34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0"/>
      <w:gridCol w:w="2932"/>
      <w:gridCol w:w="3557"/>
    </w:tblGrid>
    <w:tr w:rsidR="00473C7A" w:rsidRPr="0061169F" w14:paraId="33CAE236" w14:textId="77777777" w:rsidTr="00021D60">
      <w:trPr>
        <w:trHeight w:val="2103"/>
      </w:trPr>
      <w:tc>
        <w:tcPr>
          <w:tcW w:w="1853" w:type="pct"/>
        </w:tcPr>
        <w:p w14:paraId="0F6132B6" w14:textId="77777777" w:rsidR="00473C7A" w:rsidRPr="0061169F" w:rsidRDefault="00473C7A" w:rsidP="00ED5B07">
          <w:pPr>
            <w:pStyle w:val="Contactsautomatic"/>
          </w:pPr>
        </w:p>
      </w:tc>
      <w:tc>
        <w:tcPr>
          <w:tcW w:w="1422" w:type="pct"/>
        </w:tcPr>
        <w:p w14:paraId="1EE3361A" w14:textId="77777777" w:rsidR="00473C7A" w:rsidRPr="0061169F" w:rsidRDefault="00473C7A" w:rsidP="00ED5B07">
          <w:pPr>
            <w:pStyle w:val="Contactsautomatic"/>
          </w:pPr>
          <w:r w:rsidRPr="00EA76AB">
            <w:rPr>
              <w:b/>
              <w:bCs/>
            </w:rPr>
            <w:t>Social Finance Limited</w:t>
          </w:r>
          <w:r w:rsidRPr="0061169F">
            <w:br/>
            <w:t xml:space="preserve"> +44 (0) 20 7770 6836</w:t>
          </w:r>
        </w:p>
      </w:tc>
      <w:tc>
        <w:tcPr>
          <w:tcW w:w="1725" w:type="pct"/>
        </w:tcPr>
        <w:p w14:paraId="0D9F4FF3" w14:textId="77777777" w:rsidR="00473C7A" w:rsidRPr="0061169F" w:rsidRDefault="00473C7A" w:rsidP="00ED5B07">
          <w:pPr>
            <w:pStyle w:val="Contactsautomatic"/>
          </w:pPr>
          <w:r w:rsidRPr="0061169F">
            <w:t>87 Vauxhall Walk, London SE11 5HJ</w:t>
          </w:r>
          <w:r w:rsidR="00021D60">
            <w:br/>
          </w:r>
          <w:r w:rsidRPr="0061169F">
            <w:t>socialfinance.org.uk</w:t>
          </w:r>
        </w:p>
      </w:tc>
    </w:tr>
  </w:tbl>
  <w:p w14:paraId="09550FA8" w14:textId="77777777" w:rsidR="006951DF" w:rsidRDefault="00473C7A" w:rsidP="000D4AA9">
    <w:r>
      <w:rPr>
        <w:noProof/>
      </w:rPr>
      <w:drawing>
        <wp:anchor distT="0" distB="0" distL="114300" distR="114300" simplePos="0" relativeHeight="251658240" behindDoc="0" locked="1" layoutInCell="1" allowOverlap="1" wp14:anchorId="6E18852B" wp14:editId="3DB9A407">
          <wp:simplePos x="0" y="0"/>
          <wp:positionH relativeFrom="page">
            <wp:posOffset>433070</wp:posOffset>
          </wp:positionH>
          <wp:positionV relativeFrom="page">
            <wp:posOffset>431800</wp:posOffset>
          </wp:positionV>
          <wp:extent cx="1651904" cy="349200"/>
          <wp:effectExtent l="0" t="0" r="5715" b="0"/>
          <wp:wrapNone/>
          <wp:docPr id="222731146" name="Picture 22273114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51904" cy="34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E6AE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E81C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52E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A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34D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AEAC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A4546C"/>
    <w:lvl w:ilvl="0">
      <w:start w:val="1"/>
      <w:numFmt w:val="bullet"/>
      <w:lvlText w:val="-"/>
      <w:lvlJc w:val="left"/>
      <w:pPr>
        <w:ind w:left="926" w:hanging="360"/>
      </w:pPr>
      <w:rPr>
        <w:rFonts w:ascii="Symbol" w:hAnsi="Symbol" w:hint="default"/>
        <w:color w:val="auto"/>
        <w:sz w:val="28"/>
      </w:rPr>
    </w:lvl>
  </w:abstractNum>
  <w:abstractNum w:abstractNumId="7" w15:restartNumberingAfterBreak="0">
    <w:nsid w:val="FFFFFF83"/>
    <w:multiLevelType w:val="singleLevel"/>
    <w:tmpl w:val="E3722A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D635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C05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606E3"/>
    <w:multiLevelType w:val="hybridMultilevel"/>
    <w:tmpl w:val="D16CB25E"/>
    <w:lvl w:ilvl="0" w:tplc="63809320">
      <w:start w:val="1"/>
      <w:numFmt w:val="bullet"/>
      <w:pStyle w:val="ListBullet"/>
      <w:lvlText w:val="·"/>
      <w:lvlJc w:val="left"/>
      <w:pPr>
        <w:tabs>
          <w:tab w:val="num" w:pos="360"/>
        </w:tabs>
        <w:ind w:left="360" w:hanging="360"/>
      </w:pPr>
      <w:rPr>
        <w:rFonts w:ascii="Symbol" w:hAnsi="Symbol"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E34CBD"/>
    <w:multiLevelType w:val="hybridMultilevel"/>
    <w:tmpl w:val="85C66D52"/>
    <w:lvl w:ilvl="0" w:tplc="AA02AE84">
      <w:start w:val="2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F724A"/>
    <w:multiLevelType w:val="hybridMultilevel"/>
    <w:tmpl w:val="C76864D0"/>
    <w:lvl w:ilvl="0" w:tplc="F8649D2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C209E"/>
    <w:multiLevelType w:val="hybridMultilevel"/>
    <w:tmpl w:val="1EF04BBE"/>
    <w:lvl w:ilvl="0" w:tplc="B6E01F2C">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02288E"/>
    <w:multiLevelType w:val="hybridMultilevel"/>
    <w:tmpl w:val="F4249C78"/>
    <w:lvl w:ilvl="0" w:tplc="08090001">
      <w:start w:val="1"/>
      <w:numFmt w:val="bullet"/>
      <w:lvlText w:val=""/>
      <w:lvlJc w:val="left"/>
      <w:pPr>
        <w:ind w:left="360" w:hanging="360"/>
      </w:pPr>
      <w:rPr>
        <w:rFonts w:ascii="Symbol" w:hAnsi="Symbol"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C92115"/>
    <w:multiLevelType w:val="hybridMultilevel"/>
    <w:tmpl w:val="A11C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B5B75"/>
    <w:multiLevelType w:val="hybridMultilevel"/>
    <w:tmpl w:val="AB1831F2"/>
    <w:lvl w:ilvl="0" w:tplc="3ED6E99A">
      <w:start w:val="1"/>
      <w:numFmt w:val="bullet"/>
      <w:lvlText w:val="o"/>
      <w:lvlJc w:val="left"/>
      <w:pPr>
        <w:ind w:left="720" w:hanging="360"/>
      </w:pPr>
      <w:rPr>
        <w:rFonts w:ascii="Courier New" w:hAnsi="Courier New"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A236CF"/>
    <w:multiLevelType w:val="hybridMultilevel"/>
    <w:tmpl w:val="CA9A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03A0C"/>
    <w:multiLevelType w:val="multilevel"/>
    <w:tmpl w:val="1C8212C6"/>
    <w:lvl w:ilvl="0">
      <w:start w:val="1"/>
      <w:numFmt w:val="decimal"/>
      <w:lvlText w:val="%1"/>
      <w:lvlJc w:val="left"/>
      <w:pPr>
        <w:ind w:left="675" w:hanging="675"/>
      </w:pPr>
      <w:rPr>
        <w:rFonts w:asciiTheme="majorHAnsi" w:hAnsiTheme="majorHAnsi" w:hint="default"/>
      </w:rPr>
    </w:lvl>
    <w:lvl w:ilvl="1">
      <w:start w:val="1"/>
      <w:numFmt w:val="decimal"/>
      <w:lvlText w:val="%1.%2"/>
      <w:lvlJc w:val="left"/>
      <w:pPr>
        <w:ind w:left="720" w:hanging="720"/>
      </w:pPr>
      <w:rPr>
        <w:rFonts w:asciiTheme="majorHAnsi" w:hAnsiTheme="majorHAnsi" w:hint="default"/>
      </w:rPr>
    </w:lvl>
    <w:lvl w:ilvl="2">
      <w:start w:val="1"/>
      <w:numFmt w:val="decimal"/>
      <w:lvlText w:val="%1.%2.%3"/>
      <w:lvlJc w:val="left"/>
      <w:pPr>
        <w:ind w:left="1080" w:hanging="1080"/>
      </w:pPr>
      <w:rPr>
        <w:rFonts w:asciiTheme="majorHAnsi" w:hAnsiTheme="majorHAnsi" w:hint="default"/>
      </w:rPr>
    </w:lvl>
    <w:lvl w:ilvl="3">
      <w:start w:val="1"/>
      <w:numFmt w:val="decimal"/>
      <w:lvlText w:val="%1.%2.%3.%4"/>
      <w:lvlJc w:val="left"/>
      <w:pPr>
        <w:ind w:left="1440" w:hanging="1440"/>
      </w:pPr>
      <w:rPr>
        <w:rFonts w:asciiTheme="majorHAnsi" w:hAnsiTheme="majorHAnsi" w:hint="default"/>
      </w:rPr>
    </w:lvl>
    <w:lvl w:ilvl="4">
      <w:start w:val="1"/>
      <w:numFmt w:val="decimal"/>
      <w:lvlText w:val="%1.%2.%3.%4.%5"/>
      <w:lvlJc w:val="left"/>
      <w:pPr>
        <w:ind w:left="1800" w:hanging="1800"/>
      </w:pPr>
      <w:rPr>
        <w:rFonts w:asciiTheme="majorHAnsi" w:hAnsiTheme="majorHAnsi" w:hint="default"/>
      </w:rPr>
    </w:lvl>
    <w:lvl w:ilvl="5">
      <w:start w:val="1"/>
      <w:numFmt w:val="decimal"/>
      <w:lvlText w:val="%1.%2.%3.%4.%5.%6"/>
      <w:lvlJc w:val="left"/>
      <w:pPr>
        <w:ind w:left="2520" w:hanging="2520"/>
      </w:pPr>
      <w:rPr>
        <w:rFonts w:asciiTheme="majorHAnsi" w:hAnsiTheme="majorHAnsi" w:hint="default"/>
      </w:rPr>
    </w:lvl>
    <w:lvl w:ilvl="6">
      <w:start w:val="1"/>
      <w:numFmt w:val="decimal"/>
      <w:lvlText w:val="%1.%2.%3.%4.%5.%6.%7"/>
      <w:lvlJc w:val="left"/>
      <w:pPr>
        <w:ind w:left="2880" w:hanging="2880"/>
      </w:pPr>
      <w:rPr>
        <w:rFonts w:asciiTheme="majorHAnsi" w:hAnsiTheme="majorHAnsi" w:hint="default"/>
      </w:rPr>
    </w:lvl>
    <w:lvl w:ilvl="7">
      <w:start w:val="1"/>
      <w:numFmt w:val="decimal"/>
      <w:lvlText w:val="%1.%2.%3.%4.%5.%6.%7.%8"/>
      <w:lvlJc w:val="left"/>
      <w:pPr>
        <w:ind w:left="3240" w:hanging="3240"/>
      </w:pPr>
      <w:rPr>
        <w:rFonts w:asciiTheme="majorHAnsi" w:hAnsiTheme="majorHAnsi" w:hint="default"/>
      </w:rPr>
    </w:lvl>
    <w:lvl w:ilvl="8">
      <w:start w:val="1"/>
      <w:numFmt w:val="decimal"/>
      <w:lvlText w:val="%1.%2.%3.%4.%5.%6.%7.%8.%9"/>
      <w:lvlJc w:val="left"/>
      <w:pPr>
        <w:ind w:left="3600" w:hanging="3600"/>
      </w:pPr>
      <w:rPr>
        <w:rFonts w:asciiTheme="majorHAnsi" w:hAnsiTheme="majorHAnsi" w:hint="default"/>
      </w:rPr>
    </w:lvl>
  </w:abstractNum>
  <w:abstractNum w:abstractNumId="19" w15:restartNumberingAfterBreak="0">
    <w:nsid w:val="29CB05F6"/>
    <w:multiLevelType w:val="hybridMultilevel"/>
    <w:tmpl w:val="C93EC522"/>
    <w:lvl w:ilvl="0" w:tplc="83EED76A">
      <w:start w:val="1"/>
      <w:numFmt w:val="bullet"/>
      <w:lvlText w:val=""/>
      <w:lvlJc w:val="left"/>
      <w:pPr>
        <w:ind w:left="720" w:hanging="360"/>
      </w:pPr>
      <w:rPr>
        <w:rFonts w:ascii="Symbol" w:hAnsi="Symbol" w:hint="default"/>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170870"/>
    <w:multiLevelType w:val="hybridMultilevel"/>
    <w:tmpl w:val="C90A1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2F60FA"/>
    <w:multiLevelType w:val="multilevel"/>
    <w:tmpl w:val="A56CC9EC"/>
    <w:lvl w:ilvl="0">
      <w:start w:val="1"/>
      <w:numFmt w:val="decimal"/>
      <w:lvlText w:val="%1."/>
      <w:lvlJc w:val="left"/>
      <w:pPr>
        <w:ind w:left="397" w:hanging="397"/>
      </w:pPr>
      <w:rPr>
        <w:rFonts w:hint="default"/>
        <w:b/>
        <w:i w:val="0"/>
        <w:caps w:val="0"/>
        <w:strike w:val="0"/>
        <w:dstrike w:val="0"/>
        <w:vanish w:val="0"/>
        <w:color w:val="auto"/>
        <w:sz w:val="44"/>
        <w:vertAlign w:val="baseline"/>
      </w:rPr>
    </w:lvl>
    <w:lvl w:ilvl="1">
      <w:start w:val="1"/>
      <w:numFmt w:val="decimal"/>
      <w:lvlText w:val="%1.%2."/>
      <w:lvlJc w:val="left"/>
      <w:pPr>
        <w:ind w:left="792" w:hanging="432"/>
      </w:pPr>
      <w:rPr>
        <w:rFonts w:hint="default"/>
        <w:b/>
        <w:i w:val="0"/>
        <w:sz w:val="26"/>
      </w:rPr>
    </w:lvl>
    <w:lvl w:ilvl="2">
      <w:start w:val="1"/>
      <w:numFmt w:val="decimal"/>
      <w:lvlText w:val="%1.%2.%3."/>
      <w:lvlJc w:val="left"/>
      <w:pPr>
        <w:ind w:left="1224" w:hanging="504"/>
      </w:pPr>
      <w:rPr>
        <w:rFonts w:hint="default"/>
        <w:b/>
        <w:i w:val="0"/>
        <w:sz w:val="26"/>
      </w:rPr>
    </w:lvl>
    <w:lvl w:ilvl="3">
      <w:start w:val="1"/>
      <w:numFmt w:val="decimal"/>
      <w:lvlText w:val="%1.%2.%3.%4."/>
      <w:lvlJc w:val="left"/>
      <w:pPr>
        <w:ind w:left="1728" w:hanging="648"/>
      </w:pPr>
      <w:rPr>
        <w:rFonts w:hint="default"/>
        <w:b/>
        <w:i w:val="0"/>
        <w:color w:val="auto"/>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4B3F7A"/>
    <w:multiLevelType w:val="hybridMultilevel"/>
    <w:tmpl w:val="C1FEB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D50BF"/>
    <w:multiLevelType w:val="multilevel"/>
    <w:tmpl w:val="4A7874F8"/>
    <w:lvl w:ilvl="0">
      <w:start w:val="1"/>
      <w:numFmt w:val="lowerLetter"/>
      <w:lvlText w:val="%1."/>
      <w:lvlJc w:val="left"/>
      <w:pPr>
        <w:ind w:left="454" w:hanging="454"/>
      </w:pPr>
      <w:rPr>
        <w:rFonts w:hint="default"/>
      </w:rPr>
    </w:lvl>
    <w:lvl w:ilvl="1">
      <w:start w:val="1"/>
      <w:numFmt w:val="bullet"/>
      <w:lvlText w:val=""/>
      <w:lvlJc w:val="left"/>
      <w:pPr>
        <w:ind w:left="680" w:hanging="226"/>
      </w:pPr>
      <w:rPr>
        <w:rFonts w:ascii="Symbol" w:hAnsi="Symbol" w:hint="default"/>
        <w:color w:val="auto"/>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20216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5131E"/>
    <w:multiLevelType w:val="multilevel"/>
    <w:tmpl w:val="D83C1816"/>
    <w:numStyleLink w:val="Style1"/>
  </w:abstractNum>
  <w:abstractNum w:abstractNumId="26" w15:restartNumberingAfterBreak="0">
    <w:nsid w:val="50A7688F"/>
    <w:multiLevelType w:val="hybridMultilevel"/>
    <w:tmpl w:val="15CA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F75AA1"/>
    <w:multiLevelType w:val="hybridMultilevel"/>
    <w:tmpl w:val="31BA2E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4475D31"/>
    <w:multiLevelType w:val="hybridMultilevel"/>
    <w:tmpl w:val="C01A5816"/>
    <w:lvl w:ilvl="0" w:tplc="12406E34">
      <w:start w:val="1"/>
      <w:numFmt w:val="bullet"/>
      <w:pStyle w:val="ListBullet2"/>
      <w:lvlText w:val="-"/>
      <w:lvlJc w:val="left"/>
      <w:pPr>
        <w:ind w:left="720" w:hanging="360"/>
      </w:pPr>
      <w:rPr>
        <w:rFonts w:ascii="Symbol" w:hAnsi="Symbol" w:hint="default"/>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BF5095"/>
    <w:multiLevelType w:val="hybridMultilevel"/>
    <w:tmpl w:val="2D64A3F2"/>
    <w:lvl w:ilvl="0" w:tplc="EB8CEA9C">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54D49"/>
    <w:multiLevelType w:val="multilevel"/>
    <w:tmpl w:val="0E043180"/>
    <w:lvl w:ilvl="0">
      <w:start w:val="1"/>
      <w:numFmt w:val="decimal"/>
      <w:lvlText w:val="%1.1"/>
      <w:lvlJc w:val="left"/>
      <w:pPr>
        <w:ind w:left="762" w:hanging="360"/>
      </w:pPr>
      <w:rPr>
        <w:rFonts w:ascii="Silka Bold" w:hAnsi="Silka Bold" w:hint="default"/>
        <w:b/>
        <w:i w:val="0"/>
        <w:caps w:val="0"/>
        <w:strike w:val="0"/>
        <w:dstrike w:val="0"/>
        <w:vanish w:val="0"/>
        <w:color w:val="auto"/>
        <w:sz w:val="44"/>
        <w:vertAlign w:val="baseline"/>
      </w:rPr>
    </w:lvl>
    <w:lvl w:ilvl="1">
      <w:start w:val="2"/>
      <w:numFmt w:val="bullet"/>
      <w:lvlText w:val="•"/>
      <w:lvlJc w:val="left"/>
      <w:pPr>
        <w:ind w:left="1482" w:hanging="360"/>
      </w:pPr>
      <w:rPr>
        <w:rFonts w:ascii="Arial" w:eastAsiaTheme="minorHAnsi" w:hAnsi="Arial" w:cs="Arial" w:hint="default"/>
        <w:sz w:val="24"/>
      </w:rPr>
    </w:lvl>
    <w:lvl w:ilvl="2">
      <w:start w:val="1"/>
      <w:numFmt w:val="lowerRoman"/>
      <w:lvlText w:val="%3."/>
      <w:lvlJc w:val="right"/>
      <w:pPr>
        <w:ind w:left="2202" w:hanging="180"/>
      </w:pPr>
      <w:rPr>
        <w:rFonts w:hint="default"/>
      </w:rPr>
    </w:lvl>
    <w:lvl w:ilvl="3">
      <w:start w:val="1"/>
      <w:numFmt w:val="decimal"/>
      <w:lvlText w:val="%4."/>
      <w:lvlJc w:val="left"/>
      <w:pPr>
        <w:ind w:left="2922" w:hanging="360"/>
      </w:pPr>
      <w:rPr>
        <w:rFonts w:hint="default"/>
      </w:rPr>
    </w:lvl>
    <w:lvl w:ilvl="4">
      <w:start w:val="1"/>
      <w:numFmt w:val="lowerLetter"/>
      <w:lvlText w:val="%5."/>
      <w:lvlJc w:val="left"/>
      <w:pPr>
        <w:ind w:left="3642" w:hanging="360"/>
      </w:pPr>
      <w:rPr>
        <w:rFonts w:hint="default"/>
      </w:rPr>
    </w:lvl>
    <w:lvl w:ilvl="5">
      <w:start w:val="1"/>
      <w:numFmt w:val="lowerRoman"/>
      <w:lvlText w:val="%6."/>
      <w:lvlJc w:val="right"/>
      <w:pPr>
        <w:ind w:left="4362" w:hanging="180"/>
      </w:pPr>
      <w:rPr>
        <w:rFonts w:hint="default"/>
      </w:rPr>
    </w:lvl>
    <w:lvl w:ilvl="6">
      <w:start w:val="1"/>
      <w:numFmt w:val="decimal"/>
      <w:lvlText w:val="%7."/>
      <w:lvlJc w:val="left"/>
      <w:pPr>
        <w:ind w:left="5082" w:hanging="360"/>
      </w:pPr>
      <w:rPr>
        <w:rFonts w:hint="default"/>
      </w:rPr>
    </w:lvl>
    <w:lvl w:ilvl="7">
      <w:start w:val="1"/>
      <w:numFmt w:val="lowerLetter"/>
      <w:lvlText w:val="%8."/>
      <w:lvlJc w:val="left"/>
      <w:pPr>
        <w:ind w:left="5802" w:hanging="360"/>
      </w:pPr>
      <w:rPr>
        <w:rFonts w:hint="default"/>
      </w:rPr>
    </w:lvl>
    <w:lvl w:ilvl="8">
      <w:start w:val="1"/>
      <w:numFmt w:val="lowerRoman"/>
      <w:lvlText w:val="%9."/>
      <w:lvlJc w:val="right"/>
      <w:pPr>
        <w:ind w:left="6522" w:hanging="180"/>
      </w:pPr>
      <w:rPr>
        <w:rFonts w:hint="default"/>
      </w:rPr>
    </w:lvl>
  </w:abstractNum>
  <w:abstractNum w:abstractNumId="31" w15:restartNumberingAfterBreak="0">
    <w:nsid w:val="6CF847F9"/>
    <w:multiLevelType w:val="hybridMultilevel"/>
    <w:tmpl w:val="A97C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A5426"/>
    <w:multiLevelType w:val="multilevel"/>
    <w:tmpl w:val="D83C1816"/>
    <w:styleLink w:val="Style1"/>
    <w:lvl w:ilvl="0">
      <w:start w:val="1"/>
      <w:numFmt w:val="bullet"/>
      <w:lvlText w:val="·"/>
      <w:lvlJc w:val="left"/>
      <w:pPr>
        <w:tabs>
          <w:tab w:val="num" w:pos="360"/>
        </w:tabs>
        <w:ind w:left="360" w:hanging="360"/>
      </w:pPr>
      <w:rPr>
        <w:rFonts w:ascii="Symbol" w:hAnsi="Symbol"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DE5995"/>
    <w:multiLevelType w:val="multilevel"/>
    <w:tmpl w:val="FEA82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A57EB"/>
    <w:multiLevelType w:val="multilevel"/>
    <w:tmpl w:val="C23CFEB0"/>
    <w:lvl w:ilvl="0">
      <w:start w:val="1"/>
      <w:numFmt w:val="decimal"/>
      <w:lvlText w:val="Part %1:"/>
      <w:lvlJc w:val="left"/>
      <w:pPr>
        <w:ind w:left="1588" w:hanging="1588"/>
      </w:pPr>
      <w:rPr>
        <w:rFonts w:ascii="Arial Bold" w:hAnsi="Arial Bold" w:hint="default"/>
        <w:b/>
        <w:i w:val="0"/>
        <w:sz w:val="44"/>
      </w:rPr>
    </w:lvl>
    <w:lvl w:ilvl="1">
      <w:start w:val="1"/>
      <w:numFmt w:val="decimal"/>
      <w:lvlText w:val="%1.%2"/>
      <w:lvlJc w:val="left"/>
      <w:pPr>
        <w:ind w:left="680" w:hanging="680"/>
      </w:pPr>
      <w:rPr>
        <w:rFonts w:ascii="Arial Bold" w:hAnsi="Arial Bold" w:hint="default"/>
        <w:b/>
        <w:i w:val="0"/>
        <w:sz w:val="44"/>
      </w:rPr>
    </w:lvl>
    <w:lvl w:ilvl="2">
      <w:start w:val="1"/>
      <w:numFmt w:val="decimal"/>
      <w:lvlText w:val="%1.%2.%3"/>
      <w:lvlJc w:val="left"/>
      <w:pPr>
        <w:ind w:left="1080" w:hanging="1080"/>
      </w:pPr>
      <w:rPr>
        <w:rFonts w:ascii="Arial Bold" w:hAnsi="Arial Bold" w:hint="default"/>
        <w:b/>
        <w:i w:val="0"/>
        <w:sz w:val="26"/>
      </w:rPr>
    </w:lvl>
    <w:lvl w:ilvl="3">
      <w:start w:val="1"/>
      <w:numFmt w:val="decimal"/>
      <w:lvlText w:val="%1.%2.%3.%4"/>
      <w:lvlJc w:val="left"/>
      <w:pPr>
        <w:ind w:left="1440" w:hanging="1440"/>
      </w:pPr>
      <w:rPr>
        <w:rFonts w:asciiTheme="majorHAnsi" w:hAnsiTheme="majorHAnsi" w:hint="default"/>
      </w:rPr>
    </w:lvl>
    <w:lvl w:ilvl="4">
      <w:start w:val="1"/>
      <w:numFmt w:val="decimal"/>
      <w:lvlText w:val="%1.%2.%3.%4.%5"/>
      <w:lvlJc w:val="left"/>
      <w:pPr>
        <w:ind w:left="1800" w:hanging="1800"/>
      </w:pPr>
      <w:rPr>
        <w:rFonts w:asciiTheme="majorHAnsi" w:hAnsiTheme="majorHAnsi" w:hint="default"/>
      </w:rPr>
    </w:lvl>
    <w:lvl w:ilvl="5">
      <w:start w:val="1"/>
      <w:numFmt w:val="decimal"/>
      <w:lvlText w:val="%1.%2.%3.%4.%5.%6"/>
      <w:lvlJc w:val="left"/>
      <w:pPr>
        <w:ind w:left="2520" w:hanging="2520"/>
      </w:pPr>
      <w:rPr>
        <w:rFonts w:asciiTheme="majorHAnsi" w:hAnsiTheme="majorHAnsi" w:hint="default"/>
      </w:rPr>
    </w:lvl>
    <w:lvl w:ilvl="6">
      <w:start w:val="1"/>
      <w:numFmt w:val="decimal"/>
      <w:lvlText w:val="%1.%2.%3.%4.%5.%6.%7"/>
      <w:lvlJc w:val="left"/>
      <w:pPr>
        <w:ind w:left="2880" w:hanging="2880"/>
      </w:pPr>
      <w:rPr>
        <w:rFonts w:asciiTheme="majorHAnsi" w:hAnsiTheme="majorHAnsi" w:hint="default"/>
      </w:rPr>
    </w:lvl>
    <w:lvl w:ilvl="7">
      <w:start w:val="1"/>
      <w:numFmt w:val="decimal"/>
      <w:lvlText w:val="%1.%2.%3.%4.%5.%6.%7.%8"/>
      <w:lvlJc w:val="left"/>
      <w:pPr>
        <w:ind w:left="3240" w:hanging="3240"/>
      </w:pPr>
      <w:rPr>
        <w:rFonts w:asciiTheme="majorHAnsi" w:hAnsiTheme="majorHAnsi" w:hint="default"/>
      </w:rPr>
    </w:lvl>
    <w:lvl w:ilvl="8">
      <w:start w:val="1"/>
      <w:numFmt w:val="decimal"/>
      <w:lvlText w:val="%1.%2.%3.%4.%5.%6.%7.%8.%9"/>
      <w:lvlJc w:val="left"/>
      <w:pPr>
        <w:ind w:left="3600" w:hanging="3600"/>
      </w:pPr>
      <w:rPr>
        <w:rFonts w:asciiTheme="majorHAnsi" w:hAnsiTheme="majorHAnsi" w:hint="default"/>
      </w:rPr>
    </w:lvl>
  </w:abstractNum>
  <w:abstractNum w:abstractNumId="35" w15:restartNumberingAfterBreak="0">
    <w:nsid w:val="7E154CAC"/>
    <w:multiLevelType w:val="hybridMultilevel"/>
    <w:tmpl w:val="69DC8B8A"/>
    <w:lvl w:ilvl="0" w:tplc="EB8CEA9C">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28034">
    <w:abstractNumId w:val="9"/>
  </w:num>
  <w:num w:numId="2" w16cid:durableId="246381044">
    <w:abstractNumId w:val="7"/>
  </w:num>
  <w:num w:numId="3" w16cid:durableId="1401367922">
    <w:abstractNumId w:val="6"/>
  </w:num>
  <w:num w:numId="4" w16cid:durableId="1474372741">
    <w:abstractNumId w:val="5"/>
  </w:num>
  <w:num w:numId="5" w16cid:durableId="202984544">
    <w:abstractNumId w:val="4"/>
  </w:num>
  <w:num w:numId="6" w16cid:durableId="1749499734">
    <w:abstractNumId w:val="8"/>
  </w:num>
  <w:num w:numId="7" w16cid:durableId="1392927678">
    <w:abstractNumId w:val="3"/>
  </w:num>
  <w:num w:numId="8" w16cid:durableId="77945823">
    <w:abstractNumId w:val="2"/>
  </w:num>
  <w:num w:numId="9" w16cid:durableId="1591040774">
    <w:abstractNumId w:val="1"/>
  </w:num>
  <w:num w:numId="10" w16cid:durableId="1892692953">
    <w:abstractNumId w:val="0"/>
  </w:num>
  <w:num w:numId="11" w16cid:durableId="1499884083">
    <w:abstractNumId w:val="21"/>
  </w:num>
  <w:num w:numId="12" w16cid:durableId="1642536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6800208">
    <w:abstractNumId w:val="12"/>
  </w:num>
  <w:num w:numId="14" w16cid:durableId="1492870831">
    <w:abstractNumId w:val="13"/>
  </w:num>
  <w:num w:numId="15" w16cid:durableId="1565483785">
    <w:abstractNumId w:val="10"/>
  </w:num>
  <w:num w:numId="16" w16cid:durableId="923227972">
    <w:abstractNumId w:val="30"/>
  </w:num>
  <w:num w:numId="17" w16cid:durableId="2125415303">
    <w:abstractNumId w:val="29"/>
  </w:num>
  <w:num w:numId="18" w16cid:durableId="1966110006">
    <w:abstractNumId w:val="35"/>
  </w:num>
  <w:num w:numId="19" w16cid:durableId="1943143141">
    <w:abstractNumId w:val="22"/>
  </w:num>
  <w:num w:numId="20" w16cid:durableId="36514200">
    <w:abstractNumId w:val="16"/>
  </w:num>
  <w:num w:numId="21" w16cid:durableId="1821460743">
    <w:abstractNumId w:val="19"/>
  </w:num>
  <w:num w:numId="22" w16cid:durableId="1262177846">
    <w:abstractNumId w:val="24"/>
  </w:num>
  <w:num w:numId="23" w16cid:durableId="1270242085">
    <w:abstractNumId w:val="18"/>
  </w:num>
  <w:num w:numId="24" w16cid:durableId="248083886">
    <w:abstractNumId w:val="34"/>
  </w:num>
  <w:num w:numId="25" w16cid:durableId="227422354">
    <w:abstractNumId w:val="28"/>
  </w:num>
  <w:num w:numId="26" w16cid:durableId="2124181032">
    <w:abstractNumId w:val="23"/>
  </w:num>
  <w:num w:numId="27" w16cid:durableId="527258530">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794" w:hanging="340"/>
        </w:pPr>
        <w:rPr>
          <w:rFonts w:ascii="Symbol" w:hAnsi="Symbol" w:hint="default"/>
          <w:color w:val="auto"/>
        </w:rPr>
      </w:lvl>
    </w:lvlOverride>
    <w:lvlOverride w:ilvl="2">
      <w:lvl w:ilvl="2">
        <w:start w:val="1"/>
        <w:numFmt w:val="bullet"/>
        <w:lvlText w:val=""/>
        <w:lvlJc w:val="left"/>
        <w:pPr>
          <w:ind w:left="2160" w:hanging="180"/>
        </w:pPr>
        <w:rPr>
          <w:rFonts w:ascii="Symbol" w:hAnsi="Symbol" w:hint="default"/>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961760245">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680" w:hanging="226"/>
        </w:pPr>
        <w:rPr>
          <w:rFonts w:ascii="Symbol" w:hAnsi="Symbol" w:hint="default"/>
          <w:color w:val="auto"/>
        </w:rPr>
      </w:lvl>
    </w:lvlOverride>
    <w:lvlOverride w:ilvl="2">
      <w:lvl w:ilvl="2">
        <w:start w:val="1"/>
        <w:numFmt w:val="bullet"/>
        <w:lvlText w:val=""/>
        <w:lvlJc w:val="left"/>
        <w:pPr>
          <w:ind w:left="1814" w:hanging="1360"/>
        </w:pPr>
        <w:rPr>
          <w:rFonts w:ascii="Symbol" w:hAnsi="Symbol" w:hint="default"/>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878979050">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680" w:hanging="226"/>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863715475">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680" w:firstLine="0"/>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584649314">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454" w:firstLine="340"/>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2057195479">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454" w:firstLine="453"/>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992638710">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340" w:firstLine="567"/>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84096171">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340" w:firstLine="454"/>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785974490">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907" w:hanging="453"/>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1865901282">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1077" w:hanging="623"/>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806892388">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1077" w:hanging="453"/>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636033861">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1247" w:hanging="510"/>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542669480">
    <w:abstractNumId w:val="23"/>
    <w:lvlOverride w:ilvl="0">
      <w:lvl w:ilvl="0">
        <w:start w:val="1"/>
        <w:numFmt w:val="lowerLetter"/>
        <w:lvlText w:val="%1."/>
        <w:lvlJc w:val="left"/>
        <w:pPr>
          <w:ind w:left="454" w:hanging="454"/>
        </w:pPr>
        <w:rPr>
          <w:rFonts w:hint="default"/>
        </w:rPr>
      </w:lvl>
    </w:lvlOverride>
    <w:lvlOverride w:ilvl="1">
      <w:lvl w:ilvl="1">
        <w:start w:val="1"/>
        <w:numFmt w:val="bullet"/>
        <w:lvlText w:val=""/>
        <w:lvlJc w:val="left"/>
        <w:pPr>
          <w:ind w:left="1191" w:hanging="340"/>
        </w:pPr>
        <w:rPr>
          <w:rFonts w:ascii="Symbol" w:hAnsi="Symbol" w:hint="default"/>
          <w:color w:val="auto"/>
        </w:rPr>
      </w:lvl>
    </w:lvlOverride>
    <w:lvlOverride w:ilvl="2">
      <w:lvl w:ilvl="2">
        <w:start w:val="1"/>
        <w:numFmt w:val="bullet"/>
        <w:lvlText w:val=""/>
        <w:lvlJc w:val="left"/>
        <w:pPr>
          <w:ind w:left="1361" w:hanging="907"/>
        </w:pPr>
        <w:rPr>
          <w:rFonts w:ascii="Symbol" w:hAnsi="Symbol" w:hint="default"/>
          <w:color w:val="auto"/>
        </w:rPr>
      </w:lvl>
    </w:lvlOverride>
    <w:lvlOverride w:ilvl="3">
      <w:lvl w:ilvl="3">
        <w:start w:val="1"/>
        <w:numFmt w:val="decimal"/>
        <w:lvlText w:val="%4."/>
        <w:lvlJc w:val="left"/>
        <w:pPr>
          <w:ind w:left="2880" w:hanging="2426"/>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16cid:durableId="363336674">
    <w:abstractNumId w:val="14"/>
  </w:num>
  <w:num w:numId="41" w16cid:durableId="1730033141">
    <w:abstractNumId w:val="17"/>
  </w:num>
  <w:num w:numId="42" w16cid:durableId="1818495824">
    <w:abstractNumId w:val="15"/>
  </w:num>
  <w:num w:numId="43" w16cid:durableId="1893422403">
    <w:abstractNumId w:val="20"/>
  </w:num>
  <w:num w:numId="44" w16cid:durableId="1629163849">
    <w:abstractNumId w:val="26"/>
  </w:num>
  <w:num w:numId="45" w16cid:durableId="99880235">
    <w:abstractNumId w:val="31"/>
  </w:num>
  <w:num w:numId="46" w16cid:durableId="118691998">
    <w:abstractNumId w:val="32"/>
  </w:num>
  <w:num w:numId="47" w16cid:durableId="849417572">
    <w:abstractNumId w:val="25"/>
  </w:num>
  <w:num w:numId="48" w16cid:durableId="2124570552">
    <w:abstractNumId w:val="33"/>
  </w:num>
  <w:num w:numId="49" w16cid:durableId="2131387970">
    <w:abstractNumId w:val="27"/>
  </w:num>
  <w:num w:numId="50" w16cid:durableId="1132022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54"/>
    <w:rsid w:val="00012B5E"/>
    <w:rsid w:val="000218E9"/>
    <w:rsid w:val="00021D60"/>
    <w:rsid w:val="00024B0A"/>
    <w:rsid w:val="000344A7"/>
    <w:rsid w:val="0003464B"/>
    <w:rsid w:val="000378EC"/>
    <w:rsid w:val="00042C7F"/>
    <w:rsid w:val="0004356E"/>
    <w:rsid w:val="00043938"/>
    <w:rsid w:val="00066984"/>
    <w:rsid w:val="000768E0"/>
    <w:rsid w:val="00085441"/>
    <w:rsid w:val="0008653E"/>
    <w:rsid w:val="00097BF2"/>
    <w:rsid w:val="000A1CC6"/>
    <w:rsid w:val="000A2F7D"/>
    <w:rsid w:val="000A511D"/>
    <w:rsid w:val="000B213E"/>
    <w:rsid w:val="000C1BD9"/>
    <w:rsid w:val="000C5ABE"/>
    <w:rsid w:val="000D4869"/>
    <w:rsid w:val="000D4AA9"/>
    <w:rsid w:val="000E6775"/>
    <w:rsid w:val="000E6DD0"/>
    <w:rsid w:val="00113B9E"/>
    <w:rsid w:val="001307FB"/>
    <w:rsid w:val="00134578"/>
    <w:rsid w:val="00134FB5"/>
    <w:rsid w:val="0013707B"/>
    <w:rsid w:val="00146430"/>
    <w:rsid w:val="00146EC0"/>
    <w:rsid w:val="00154F81"/>
    <w:rsid w:val="00154FA3"/>
    <w:rsid w:val="0016023A"/>
    <w:rsid w:val="0016283B"/>
    <w:rsid w:val="00164CC6"/>
    <w:rsid w:val="0016515F"/>
    <w:rsid w:val="00173302"/>
    <w:rsid w:val="001777AE"/>
    <w:rsid w:val="001820A5"/>
    <w:rsid w:val="001839BE"/>
    <w:rsid w:val="001A632E"/>
    <w:rsid w:val="001B1772"/>
    <w:rsid w:val="001B3B01"/>
    <w:rsid w:val="001B625A"/>
    <w:rsid w:val="001C4ADF"/>
    <w:rsid w:val="001D03E2"/>
    <w:rsid w:val="001F3503"/>
    <w:rsid w:val="002048CA"/>
    <w:rsid w:val="00211674"/>
    <w:rsid w:val="00211961"/>
    <w:rsid w:val="002252C9"/>
    <w:rsid w:val="00240D49"/>
    <w:rsid w:val="0024379C"/>
    <w:rsid w:val="00244975"/>
    <w:rsid w:val="00296770"/>
    <w:rsid w:val="002B5997"/>
    <w:rsid w:val="002C25BC"/>
    <w:rsid w:val="002D5250"/>
    <w:rsid w:val="002E4F08"/>
    <w:rsid w:val="002E6C16"/>
    <w:rsid w:val="002E711E"/>
    <w:rsid w:val="002E7154"/>
    <w:rsid w:val="002F0A81"/>
    <w:rsid w:val="002F188F"/>
    <w:rsid w:val="00306024"/>
    <w:rsid w:val="00311B24"/>
    <w:rsid w:val="00323C25"/>
    <w:rsid w:val="00326302"/>
    <w:rsid w:val="00342197"/>
    <w:rsid w:val="00353197"/>
    <w:rsid w:val="00365D77"/>
    <w:rsid w:val="00372583"/>
    <w:rsid w:val="00372DDA"/>
    <w:rsid w:val="00376337"/>
    <w:rsid w:val="00377CEB"/>
    <w:rsid w:val="003859FA"/>
    <w:rsid w:val="00386952"/>
    <w:rsid w:val="00393FB2"/>
    <w:rsid w:val="00396F09"/>
    <w:rsid w:val="003A1EAC"/>
    <w:rsid w:val="003A2BB9"/>
    <w:rsid w:val="003A6023"/>
    <w:rsid w:val="003C7D56"/>
    <w:rsid w:val="003D29AD"/>
    <w:rsid w:val="003D44E7"/>
    <w:rsid w:val="003F2BCA"/>
    <w:rsid w:val="00404927"/>
    <w:rsid w:val="00405DD5"/>
    <w:rsid w:val="00407CEE"/>
    <w:rsid w:val="00411ECE"/>
    <w:rsid w:val="00413DBE"/>
    <w:rsid w:val="0042300B"/>
    <w:rsid w:val="00437C2D"/>
    <w:rsid w:val="00472185"/>
    <w:rsid w:val="00473953"/>
    <w:rsid w:val="00473C7A"/>
    <w:rsid w:val="004856A4"/>
    <w:rsid w:val="0049274A"/>
    <w:rsid w:val="004A658D"/>
    <w:rsid w:val="004C29F2"/>
    <w:rsid w:val="004D58BF"/>
    <w:rsid w:val="004E3A5E"/>
    <w:rsid w:val="004E4156"/>
    <w:rsid w:val="004E501E"/>
    <w:rsid w:val="004F6C1B"/>
    <w:rsid w:val="00517CAC"/>
    <w:rsid w:val="00525937"/>
    <w:rsid w:val="00532005"/>
    <w:rsid w:val="005340C0"/>
    <w:rsid w:val="00541B39"/>
    <w:rsid w:val="00541D78"/>
    <w:rsid w:val="00555A10"/>
    <w:rsid w:val="00563119"/>
    <w:rsid w:val="00577EAA"/>
    <w:rsid w:val="005906F9"/>
    <w:rsid w:val="0059571D"/>
    <w:rsid w:val="005A2FF3"/>
    <w:rsid w:val="005A3BAB"/>
    <w:rsid w:val="005B00CF"/>
    <w:rsid w:val="005B3496"/>
    <w:rsid w:val="005C54E2"/>
    <w:rsid w:val="005C5F5A"/>
    <w:rsid w:val="005C66D7"/>
    <w:rsid w:val="005D49FD"/>
    <w:rsid w:val="005D554D"/>
    <w:rsid w:val="005F0207"/>
    <w:rsid w:val="00606D66"/>
    <w:rsid w:val="00607D06"/>
    <w:rsid w:val="00614510"/>
    <w:rsid w:val="00627515"/>
    <w:rsid w:val="00645540"/>
    <w:rsid w:val="00645898"/>
    <w:rsid w:val="00646387"/>
    <w:rsid w:val="0065557E"/>
    <w:rsid w:val="006619D8"/>
    <w:rsid w:val="00672D4E"/>
    <w:rsid w:val="00673182"/>
    <w:rsid w:val="00674042"/>
    <w:rsid w:val="00691760"/>
    <w:rsid w:val="0069516D"/>
    <w:rsid w:val="0069516E"/>
    <w:rsid w:val="006951DF"/>
    <w:rsid w:val="006A142A"/>
    <w:rsid w:val="006B159E"/>
    <w:rsid w:val="006B1CF3"/>
    <w:rsid w:val="006D6C4D"/>
    <w:rsid w:val="006E1856"/>
    <w:rsid w:val="006E7EA3"/>
    <w:rsid w:val="006F2BE8"/>
    <w:rsid w:val="0070371A"/>
    <w:rsid w:val="00710CD6"/>
    <w:rsid w:val="00731AFF"/>
    <w:rsid w:val="0073651B"/>
    <w:rsid w:val="00736FD9"/>
    <w:rsid w:val="007518D4"/>
    <w:rsid w:val="007576FD"/>
    <w:rsid w:val="00760BC4"/>
    <w:rsid w:val="007717E6"/>
    <w:rsid w:val="00772C4C"/>
    <w:rsid w:val="007759BB"/>
    <w:rsid w:val="00782E3D"/>
    <w:rsid w:val="00790CD1"/>
    <w:rsid w:val="007A4D82"/>
    <w:rsid w:val="007A6187"/>
    <w:rsid w:val="007B4C05"/>
    <w:rsid w:val="007C4333"/>
    <w:rsid w:val="007C6044"/>
    <w:rsid w:val="007C6FA4"/>
    <w:rsid w:val="007E4238"/>
    <w:rsid w:val="007F3010"/>
    <w:rsid w:val="007F548D"/>
    <w:rsid w:val="007F5A70"/>
    <w:rsid w:val="00810C51"/>
    <w:rsid w:val="00823427"/>
    <w:rsid w:val="008263F3"/>
    <w:rsid w:val="00826E04"/>
    <w:rsid w:val="008273EF"/>
    <w:rsid w:val="00830787"/>
    <w:rsid w:val="00834D32"/>
    <w:rsid w:val="00836D86"/>
    <w:rsid w:val="00844258"/>
    <w:rsid w:val="0084432C"/>
    <w:rsid w:val="00852638"/>
    <w:rsid w:val="00861F31"/>
    <w:rsid w:val="00865280"/>
    <w:rsid w:val="00873AFE"/>
    <w:rsid w:val="00877606"/>
    <w:rsid w:val="008800FD"/>
    <w:rsid w:val="008A6D02"/>
    <w:rsid w:val="008C754C"/>
    <w:rsid w:val="008D5287"/>
    <w:rsid w:val="008E4B5C"/>
    <w:rsid w:val="008E4E89"/>
    <w:rsid w:val="009128F1"/>
    <w:rsid w:val="0092236B"/>
    <w:rsid w:val="009370B9"/>
    <w:rsid w:val="00954A85"/>
    <w:rsid w:val="00964CCE"/>
    <w:rsid w:val="00971242"/>
    <w:rsid w:val="009775AA"/>
    <w:rsid w:val="00986362"/>
    <w:rsid w:val="009B7931"/>
    <w:rsid w:val="009C11C3"/>
    <w:rsid w:val="009C2F67"/>
    <w:rsid w:val="009C52BC"/>
    <w:rsid w:val="009D5D09"/>
    <w:rsid w:val="009E44A9"/>
    <w:rsid w:val="009E579A"/>
    <w:rsid w:val="00A06EA0"/>
    <w:rsid w:val="00A13BA4"/>
    <w:rsid w:val="00A47E83"/>
    <w:rsid w:val="00A60DC9"/>
    <w:rsid w:val="00A930D0"/>
    <w:rsid w:val="00AA423D"/>
    <w:rsid w:val="00AA7E07"/>
    <w:rsid w:val="00AB3F5B"/>
    <w:rsid w:val="00AC0DD4"/>
    <w:rsid w:val="00AC13DE"/>
    <w:rsid w:val="00AC460B"/>
    <w:rsid w:val="00AE1431"/>
    <w:rsid w:val="00AE4AA1"/>
    <w:rsid w:val="00B06DCA"/>
    <w:rsid w:val="00B10D16"/>
    <w:rsid w:val="00B11BB9"/>
    <w:rsid w:val="00B30FAE"/>
    <w:rsid w:val="00B31285"/>
    <w:rsid w:val="00B354E1"/>
    <w:rsid w:val="00B37066"/>
    <w:rsid w:val="00B50E0F"/>
    <w:rsid w:val="00B51325"/>
    <w:rsid w:val="00B553A2"/>
    <w:rsid w:val="00B55B75"/>
    <w:rsid w:val="00B600A2"/>
    <w:rsid w:val="00B6064A"/>
    <w:rsid w:val="00B7718C"/>
    <w:rsid w:val="00B77CF3"/>
    <w:rsid w:val="00B84DE1"/>
    <w:rsid w:val="00B8766B"/>
    <w:rsid w:val="00BA3489"/>
    <w:rsid w:val="00BB2866"/>
    <w:rsid w:val="00BB6245"/>
    <w:rsid w:val="00BC4B67"/>
    <w:rsid w:val="00BC4C16"/>
    <w:rsid w:val="00BE4369"/>
    <w:rsid w:val="00BF6FF7"/>
    <w:rsid w:val="00C21E7B"/>
    <w:rsid w:val="00C27E48"/>
    <w:rsid w:val="00C329B2"/>
    <w:rsid w:val="00C347A9"/>
    <w:rsid w:val="00C401C1"/>
    <w:rsid w:val="00C5336E"/>
    <w:rsid w:val="00C8124A"/>
    <w:rsid w:val="00C905CE"/>
    <w:rsid w:val="00CA5A79"/>
    <w:rsid w:val="00CB73ED"/>
    <w:rsid w:val="00CC2934"/>
    <w:rsid w:val="00CC3BB9"/>
    <w:rsid w:val="00CC57D1"/>
    <w:rsid w:val="00CC651D"/>
    <w:rsid w:val="00CC6B8A"/>
    <w:rsid w:val="00CC7341"/>
    <w:rsid w:val="00CE1590"/>
    <w:rsid w:val="00CE306F"/>
    <w:rsid w:val="00CE43D6"/>
    <w:rsid w:val="00CE627A"/>
    <w:rsid w:val="00CF3D2A"/>
    <w:rsid w:val="00CF3FBC"/>
    <w:rsid w:val="00D138AB"/>
    <w:rsid w:val="00D16E6A"/>
    <w:rsid w:val="00D328D9"/>
    <w:rsid w:val="00D3294D"/>
    <w:rsid w:val="00D33348"/>
    <w:rsid w:val="00D40959"/>
    <w:rsid w:val="00D77064"/>
    <w:rsid w:val="00D84390"/>
    <w:rsid w:val="00D90661"/>
    <w:rsid w:val="00DA39EF"/>
    <w:rsid w:val="00DA4D3C"/>
    <w:rsid w:val="00DD2B3D"/>
    <w:rsid w:val="00DE0258"/>
    <w:rsid w:val="00DF0E2C"/>
    <w:rsid w:val="00E14CF7"/>
    <w:rsid w:val="00E24016"/>
    <w:rsid w:val="00E26F36"/>
    <w:rsid w:val="00E65CB8"/>
    <w:rsid w:val="00E66736"/>
    <w:rsid w:val="00E70173"/>
    <w:rsid w:val="00E74017"/>
    <w:rsid w:val="00E91B03"/>
    <w:rsid w:val="00E93A04"/>
    <w:rsid w:val="00E9418F"/>
    <w:rsid w:val="00EA042B"/>
    <w:rsid w:val="00EA23DC"/>
    <w:rsid w:val="00EA76AB"/>
    <w:rsid w:val="00EB55A4"/>
    <w:rsid w:val="00EC10FB"/>
    <w:rsid w:val="00EC35EC"/>
    <w:rsid w:val="00ED58D5"/>
    <w:rsid w:val="00ED5B07"/>
    <w:rsid w:val="00EF625A"/>
    <w:rsid w:val="00EF6E5E"/>
    <w:rsid w:val="00F0756F"/>
    <w:rsid w:val="00F12198"/>
    <w:rsid w:val="00F229F9"/>
    <w:rsid w:val="00F25E12"/>
    <w:rsid w:val="00F476A4"/>
    <w:rsid w:val="00F54455"/>
    <w:rsid w:val="00F5617D"/>
    <w:rsid w:val="00F6009E"/>
    <w:rsid w:val="00F63D67"/>
    <w:rsid w:val="00F65BBD"/>
    <w:rsid w:val="00F6613A"/>
    <w:rsid w:val="00F82B36"/>
    <w:rsid w:val="00F91487"/>
    <w:rsid w:val="00F92002"/>
    <w:rsid w:val="00F94A19"/>
    <w:rsid w:val="00F96E67"/>
    <w:rsid w:val="00FB109F"/>
    <w:rsid w:val="00FC0487"/>
    <w:rsid w:val="00FC2374"/>
    <w:rsid w:val="00FC2B06"/>
    <w:rsid w:val="00FC4290"/>
    <w:rsid w:val="00FC61FF"/>
    <w:rsid w:val="00FC7DFB"/>
    <w:rsid w:val="00FD1555"/>
    <w:rsid w:val="00FE1B2E"/>
    <w:rsid w:val="00FE4C29"/>
    <w:rsid w:val="00FF7377"/>
    <w:rsid w:val="00FF73B9"/>
    <w:rsid w:val="03907375"/>
    <w:rsid w:val="36A725FA"/>
    <w:rsid w:val="3C4B69C5"/>
    <w:rsid w:val="4032CD00"/>
    <w:rsid w:val="4B07AFF2"/>
    <w:rsid w:val="7BE475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54A7A"/>
  <w15:chartTrackingRefBased/>
  <w15:docId w15:val="{C8AB2332-5ED4-4203-8CF4-A3BD2737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A9"/>
    <w:pPr>
      <w:spacing w:line="280" w:lineRule="atLeast"/>
    </w:pPr>
    <w:rPr>
      <w:rFonts w:eastAsiaTheme="minorEastAsia"/>
      <w:spacing w:val="-4"/>
      <w:sz w:val="24"/>
      <w:szCs w:val="24"/>
    </w:rPr>
  </w:style>
  <w:style w:type="paragraph" w:styleId="Heading1">
    <w:name w:val="heading 1"/>
    <w:basedOn w:val="Heading2"/>
    <w:next w:val="Normal"/>
    <w:link w:val="Heading1Char"/>
    <w:uiPriority w:val="9"/>
    <w:qFormat/>
    <w:rsid w:val="00F94A19"/>
    <w:pPr>
      <w:pBdr>
        <w:top w:val="single" w:sz="24" w:space="1" w:color="46CDE6" w:themeColor="accent6"/>
      </w:pBdr>
      <w:spacing w:before="0" w:after="200" w:line="800" w:lineRule="atLeast"/>
      <w:outlineLvl w:val="0"/>
    </w:pPr>
    <w:rPr>
      <w:sz w:val="64"/>
      <w:szCs w:val="64"/>
    </w:rPr>
  </w:style>
  <w:style w:type="paragraph" w:styleId="Heading2">
    <w:name w:val="heading 2"/>
    <w:next w:val="Normal"/>
    <w:link w:val="Heading2Char"/>
    <w:uiPriority w:val="9"/>
    <w:unhideWhenUsed/>
    <w:qFormat/>
    <w:rsid w:val="00CE43D6"/>
    <w:pPr>
      <w:spacing w:before="240" w:after="320" w:line="520" w:lineRule="atLeast"/>
      <w:outlineLvl w:val="1"/>
    </w:pPr>
    <w:rPr>
      <w:rFonts w:asciiTheme="majorHAnsi" w:hAnsiTheme="majorHAnsi"/>
      <w:b/>
      <w:spacing w:val="6"/>
      <w:sz w:val="40"/>
      <w:szCs w:val="40"/>
    </w:rPr>
  </w:style>
  <w:style w:type="paragraph" w:styleId="Heading3">
    <w:name w:val="heading 3"/>
    <w:next w:val="Normal"/>
    <w:link w:val="Heading3Char"/>
    <w:uiPriority w:val="9"/>
    <w:unhideWhenUsed/>
    <w:qFormat/>
    <w:rsid w:val="00C27E48"/>
    <w:pPr>
      <w:spacing w:line="340" w:lineRule="atLeast"/>
      <w:outlineLvl w:val="2"/>
    </w:pPr>
    <w:rPr>
      <w:bCs/>
      <w:spacing w:val="6"/>
      <w:sz w:val="32"/>
      <w:szCs w:val="32"/>
    </w:rPr>
  </w:style>
  <w:style w:type="paragraph" w:styleId="Heading4">
    <w:name w:val="heading 4"/>
    <w:next w:val="Normal"/>
    <w:link w:val="Heading4Char"/>
    <w:uiPriority w:val="9"/>
    <w:unhideWhenUsed/>
    <w:qFormat/>
    <w:rsid w:val="000344A7"/>
    <w:pPr>
      <w:spacing w:before="320" w:line="320" w:lineRule="atLeast"/>
      <w:outlineLvl w:val="3"/>
    </w:pPr>
    <w:rPr>
      <w:b/>
      <w:spacing w:val="6"/>
      <w:sz w:val="24"/>
    </w:rPr>
  </w:style>
  <w:style w:type="paragraph" w:styleId="Heading5">
    <w:name w:val="heading 5"/>
    <w:basedOn w:val="Normal"/>
    <w:next w:val="Normal"/>
    <w:link w:val="Heading5Char"/>
    <w:uiPriority w:val="9"/>
    <w:unhideWhenUsed/>
    <w:qFormat/>
    <w:rsid w:val="007576FD"/>
    <w:pPr>
      <w:keepNext/>
      <w:keepLines/>
      <w:spacing w:line="520" w:lineRule="atLeast"/>
      <w:ind w:right="821"/>
      <w:outlineLvl w:val="4"/>
    </w:pPr>
    <w:rPr>
      <w:rFonts w:asciiTheme="majorHAnsi" w:eastAsiaTheme="majorEastAsia" w:hAnsiTheme="majorHAnsi" w:cstheme="majorBidi"/>
      <w:i/>
      <w:color w:val="000000" w:themeColor="accent1" w:themeShade="BF"/>
    </w:rPr>
  </w:style>
  <w:style w:type="paragraph" w:styleId="Heading6">
    <w:name w:val="heading 6"/>
    <w:next w:val="Normal"/>
    <w:link w:val="Heading6Char"/>
    <w:uiPriority w:val="9"/>
    <w:unhideWhenUsed/>
    <w:qFormat/>
    <w:rsid w:val="00627515"/>
    <w:pPr>
      <w:spacing w:line="380" w:lineRule="atLeast"/>
      <w:outlineLvl w:val="5"/>
    </w:pPr>
    <w:rPr>
      <w:spacing w:val="-4"/>
      <w:sz w:val="32"/>
      <w:szCs w:val="32"/>
    </w:rPr>
  </w:style>
  <w:style w:type="paragraph" w:styleId="Heading7">
    <w:name w:val="heading 7"/>
    <w:basedOn w:val="Normal"/>
    <w:next w:val="Normal"/>
    <w:link w:val="Heading7Char"/>
    <w:uiPriority w:val="9"/>
    <w:unhideWhenUsed/>
    <w:rsid w:val="0073651B"/>
    <w:pPr>
      <w:outlineLvl w:val="6"/>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ubtitle">
    <w:name w:val="H1 subtitle"/>
    <w:qFormat/>
    <w:rsid w:val="00F94A19"/>
    <w:pPr>
      <w:spacing w:after="120" w:line="380" w:lineRule="atLeast"/>
    </w:pPr>
    <w:rPr>
      <w:spacing w:val="-4"/>
      <w:sz w:val="44"/>
      <w:szCs w:val="44"/>
    </w:rPr>
  </w:style>
  <w:style w:type="paragraph" w:styleId="Header">
    <w:name w:val="header"/>
    <w:basedOn w:val="Normal"/>
    <w:link w:val="HeaderChar"/>
    <w:uiPriority w:val="99"/>
    <w:unhideWhenUsed/>
    <w:rsid w:val="009C52BC"/>
    <w:pPr>
      <w:tabs>
        <w:tab w:val="center" w:pos="4513"/>
        <w:tab w:val="right" w:pos="9026"/>
      </w:tabs>
      <w:spacing w:after="0" w:line="240" w:lineRule="auto"/>
    </w:pPr>
  </w:style>
  <w:style w:type="paragraph" w:styleId="Footer">
    <w:name w:val="footer"/>
    <w:link w:val="FooterChar"/>
    <w:uiPriority w:val="99"/>
    <w:unhideWhenUsed/>
    <w:rsid w:val="009D5D09"/>
    <w:pPr>
      <w:tabs>
        <w:tab w:val="center" w:pos="4513"/>
        <w:tab w:val="right" w:pos="9026"/>
      </w:tabs>
      <w:spacing w:line="240" w:lineRule="auto"/>
      <w:jc w:val="right"/>
    </w:pPr>
    <w:rPr>
      <w:sz w:val="18"/>
      <w:szCs w:val="24"/>
    </w:rPr>
  </w:style>
  <w:style w:type="character" w:customStyle="1" w:styleId="FooterChar">
    <w:name w:val="Footer Char"/>
    <w:basedOn w:val="DefaultParagraphFont"/>
    <w:link w:val="Footer"/>
    <w:uiPriority w:val="99"/>
    <w:rsid w:val="009D5D09"/>
    <w:rPr>
      <w:sz w:val="18"/>
      <w:szCs w:val="24"/>
    </w:rPr>
  </w:style>
  <w:style w:type="table" w:styleId="TableGrid">
    <w:name w:val="Table Grid"/>
    <w:basedOn w:val="TableNormal"/>
    <w:uiPriority w:val="39"/>
    <w:rsid w:val="0052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C52BC"/>
    <w:rPr>
      <w:rFonts w:eastAsiaTheme="minorEastAsia"/>
      <w:spacing w:val="-4"/>
      <w:sz w:val="24"/>
      <w:szCs w:val="24"/>
    </w:rPr>
  </w:style>
  <w:style w:type="character" w:styleId="PageNumber">
    <w:name w:val="page number"/>
    <w:uiPriority w:val="99"/>
    <w:unhideWhenUsed/>
    <w:rsid w:val="003D29AD"/>
    <w:rPr>
      <w:sz w:val="18"/>
      <w:szCs w:val="18"/>
    </w:rPr>
  </w:style>
  <w:style w:type="character" w:customStyle="1" w:styleId="Heading1Char">
    <w:name w:val="Heading 1 Char"/>
    <w:basedOn w:val="DefaultParagraphFont"/>
    <w:link w:val="Heading1"/>
    <w:uiPriority w:val="9"/>
    <w:rsid w:val="00F94A19"/>
    <w:rPr>
      <w:rFonts w:asciiTheme="majorHAnsi" w:hAnsiTheme="majorHAnsi"/>
      <w:b/>
      <w:spacing w:val="6"/>
      <w:sz w:val="64"/>
      <w:szCs w:val="64"/>
    </w:rPr>
  </w:style>
  <w:style w:type="numbering" w:customStyle="1" w:styleId="Style1">
    <w:name w:val="Style1"/>
    <w:uiPriority w:val="99"/>
    <w:rsid w:val="0065557E"/>
    <w:pPr>
      <w:numPr>
        <w:numId w:val="46"/>
      </w:numPr>
    </w:pPr>
  </w:style>
  <w:style w:type="character" w:customStyle="1" w:styleId="Heading2Char">
    <w:name w:val="Heading 2 Char"/>
    <w:basedOn w:val="DefaultParagraphFont"/>
    <w:link w:val="Heading2"/>
    <w:uiPriority w:val="9"/>
    <w:rsid w:val="00CE43D6"/>
    <w:rPr>
      <w:rFonts w:asciiTheme="majorHAnsi" w:hAnsiTheme="majorHAnsi"/>
      <w:b/>
      <w:spacing w:val="6"/>
      <w:sz w:val="40"/>
      <w:szCs w:val="40"/>
    </w:rPr>
  </w:style>
  <w:style w:type="character" w:customStyle="1" w:styleId="Heading3Char">
    <w:name w:val="Heading 3 Char"/>
    <w:basedOn w:val="DefaultParagraphFont"/>
    <w:link w:val="Heading3"/>
    <w:uiPriority w:val="9"/>
    <w:rsid w:val="00C27E48"/>
    <w:rPr>
      <w:bCs/>
      <w:spacing w:val="6"/>
      <w:sz w:val="32"/>
      <w:szCs w:val="32"/>
    </w:rPr>
  </w:style>
  <w:style w:type="character" w:customStyle="1" w:styleId="Heading4Char">
    <w:name w:val="Heading 4 Char"/>
    <w:basedOn w:val="DefaultParagraphFont"/>
    <w:link w:val="Heading4"/>
    <w:uiPriority w:val="9"/>
    <w:rsid w:val="000344A7"/>
    <w:rPr>
      <w:b/>
      <w:spacing w:val="6"/>
      <w:sz w:val="24"/>
    </w:rPr>
  </w:style>
  <w:style w:type="character" w:customStyle="1" w:styleId="Heading5Char">
    <w:name w:val="Heading 5 Char"/>
    <w:basedOn w:val="DefaultParagraphFont"/>
    <w:link w:val="Heading5"/>
    <w:uiPriority w:val="9"/>
    <w:rsid w:val="007576FD"/>
    <w:rPr>
      <w:rFonts w:asciiTheme="majorHAnsi" w:eastAsiaTheme="majorEastAsia" w:hAnsiTheme="majorHAnsi" w:cstheme="majorBidi"/>
      <w:i/>
      <w:color w:val="000000" w:themeColor="accent1" w:themeShade="BF"/>
      <w:spacing w:val="-4"/>
      <w:sz w:val="24"/>
      <w:szCs w:val="24"/>
    </w:rPr>
  </w:style>
  <w:style w:type="character" w:customStyle="1" w:styleId="Heading6Char">
    <w:name w:val="Heading 6 Char"/>
    <w:basedOn w:val="DefaultParagraphFont"/>
    <w:link w:val="Heading6"/>
    <w:uiPriority w:val="9"/>
    <w:rsid w:val="00627515"/>
    <w:rPr>
      <w:spacing w:val="-4"/>
      <w:sz w:val="32"/>
      <w:szCs w:val="32"/>
    </w:rPr>
  </w:style>
  <w:style w:type="paragraph" w:styleId="ListBullet">
    <w:name w:val="List Bullet"/>
    <w:basedOn w:val="Normal"/>
    <w:uiPriority w:val="99"/>
    <w:unhideWhenUsed/>
    <w:qFormat/>
    <w:rsid w:val="0065557E"/>
    <w:pPr>
      <w:numPr>
        <w:numId w:val="15"/>
      </w:numPr>
    </w:pPr>
  </w:style>
  <w:style w:type="character" w:customStyle="1" w:styleId="Heading7Char">
    <w:name w:val="Heading 7 Char"/>
    <w:basedOn w:val="DefaultParagraphFont"/>
    <w:link w:val="Heading7"/>
    <w:uiPriority w:val="9"/>
    <w:rsid w:val="0073651B"/>
    <w:rPr>
      <w:spacing w:val="-4"/>
      <w:sz w:val="26"/>
      <w:szCs w:val="26"/>
    </w:rPr>
  </w:style>
  <w:style w:type="paragraph" w:styleId="ListBullet2">
    <w:name w:val="List Bullet 2"/>
    <w:basedOn w:val="Normal"/>
    <w:uiPriority w:val="99"/>
    <w:unhideWhenUsed/>
    <w:qFormat/>
    <w:rsid w:val="00EA76AB"/>
    <w:pPr>
      <w:numPr>
        <w:numId w:val="25"/>
      </w:numPr>
    </w:pPr>
    <w:rPr>
      <w:bCs/>
    </w:rPr>
  </w:style>
  <w:style w:type="character" w:styleId="UnresolvedMention">
    <w:name w:val="Unresolved Mention"/>
    <w:basedOn w:val="DefaultParagraphFont"/>
    <w:uiPriority w:val="99"/>
    <w:semiHidden/>
    <w:unhideWhenUsed/>
    <w:rsid w:val="00E24016"/>
    <w:rPr>
      <w:color w:val="605E5C"/>
      <w:shd w:val="clear" w:color="auto" w:fill="E1DFDD"/>
    </w:rPr>
  </w:style>
  <w:style w:type="character" w:styleId="CommentReference">
    <w:name w:val="annotation reference"/>
    <w:basedOn w:val="DefaultParagraphFont"/>
    <w:uiPriority w:val="99"/>
    <w:semiHidden/>
    <w:unhideWhenUsed/>
    <w:rsid w:val="00134FB5"/>
    <w:rPr>
      <w:sz w:val="16"/>
      <w:szCs w:val="16"/>
    </w:rPr>
  </w:style>
  <w:style w:type="paragraph" w:styleId="CommentText">
    <w:name w:val="annotation text"/>
    <w:basedOn w:val="Normal"/>
    <w:link w:val="CommentTextChar"/>
    <w:uiPriority w:val="99"/>
    <w:unhideWhenUsed/>
    <w:rsid w:val="00134FB5"/>
    <w:pPr>
      <w:spacing w:line="240" w:lineRule="auto"/>
    </w:pPr>
    <w:rPr>
      <w:sz w:val="20"/>
      <w:szCs w:val="20"/>
    </w:rPr>
  </w:style>
  <w:style w:type="character" w:customStyle="1" w:styleId="CommentTextChar">
    <w:name w:val="Comment Text Char"/>
    <w:basedOn w:val="DefaultParagraphFont"/>
    <w:link w:val="CommentText"/>
    <w:uiPriority w:val="99"/>
    <w:rsid w:val="00134FB5"/>
    <w:rPr>
      <w:spacing w:val="-4"/>
      <w:sz w:val="20"/>
      <w:szCs w:val="20"/>
    </w:rPr>
  </w:style>
  <w:style w:type="paragraph" w:styleId="CommentSubject">
    <w:name w:val="annotation subject"/>
    <w:basedOn w:val="CommentText"/>
    <w:next w:val="CommentText"/>
    <w:link w:val="CommentSubjectChar"/>
    <w:uiPriority w:val="99"/>
    <w:semiHidden/>
    <w:unhideWhenUsed/>
    <w:rsid w:val="00134FB5"/>
    <w:rPr>
      <w:b/>
      <w:bCs/>
    </w:rPr>
  </w:style>
  <w:style w:type="character" w:customStyle="1" w:styleId="CommentSubjectChar">
    <w:name w:val="Comment Subject Char"/>
    <w:basedOn w:val="CommentTextChar"/>
    <w:link w:val="CommentSubject"/>
    <w:uiPriority w:val="99"/>
    <w:semiHidden/>
    <w:rsid w:val="00134FB5"/>
    <w:rPr>
      <w:b/>
      <w:bCs/>
      <w:spacing w:val="-4"/>
      <w:sz w:val="20"/>
      <w:szCs w:val="20"/>
    </w:rPr>
  </w:style>
  <w:style w:type="paragraph" w:styleId="Revision">
    <w:name w:val="Revision"/>
    <w:hidden/>
    <w:uiPriority w:val="99"/>
    <w:semiHidden/>
    <w:rsid w:val="00134FB5"/>
    <w:pPr>
      <w:spacing w:after="0" w:line="240" w:lineRule="auto"/>
    </w:pPr>
    <w:rPr>
      <w:spacing w:val="-4"/>
      <w:sz w:val="28"/>
    </w:rPr>
  </w:style>
  <w:style w:type="paragraph" w:customStyle="1" w:styleId="Contactsautomatic">
    <w:name w:val="Contacts automatic"/>
    <w:basedOn w:val="Normal"/>
    <w:qFormat/>
    <w:rsid w:val="003D29AD"/>
    <w:pPr>
      <w:spacing w:line="260" w:lineRule="atLeast"/>
    </w:pPr>
    <w:rPr>
      <w:sz w:val="22"/>
      <w:szCs w:val="22"/>
    </w:rPr>
  </w:style>
  <w:style w:type="paragraph" w:customStyle="1" w:styleId="Subheading">
    <w:name w:val="Subheading"/>
    <w:basedOn w:val="Normal"/>
    <w:qFormat/>
    <w:rsid w:val="00F94A19"/>
    <w:rPr>
      <w:sz w:val="32"/>
      <w:szCs w:val="32"/>
    </w:rPr>
  </w:style>
  <w:style w:type="paragraph" w:customStyle="1" w:styleId="H2subtitle">
    <w:name w:val="H2 subtitle"/>
    <w:qFormat/>
    <w:rsid w:val="00CF3FBC"/>
    <w:rPr>
      <w:bCs/>
      <w:spacing w:val="6"/>
      <w:sz w:val="32"/>
      <w:szCs w:val="32"/>
    </w:rPr>
  </w:style>
  <w:style w:type="paragraph" w:styleId="FootnoteText">
    <w:name w:val="footnote text"/>
    <w:basedOn w:val="Normal"/>
    <w:link w:val="FootnoteTextChar"/>
    <w:uiPriority w:val="99"/>
    <w:semiHidden/>
    <w:unhideWhenUsed/>
    <w:rsid w:val="005D5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54D"/>
    <w:rPr>
      <w:rFonts w:eastAsiaTheme="minorEastAsia"/>
      <w:spacing w:val="-4"/>
      <w:sz w:val="20"/>
      <w:szCs w:val="20"/>
    </w:rPr>
  </w:style>
  <w:style w:type="character" w:styleId="FootnoteReference">
    <w:name w:val="footnote reference"/>
    <w:basedOn w:val="DefaultParagraphFont"/>
    <w:uiPriority w:val="99"/>
    <w:semiHidden/>
    <w:unhideWhenUsed/>
    <w:rsid w:val="005D554D"/>
    <w:rPr>
      <w:vertAlign w:val="superscript"/>
    </w:rPr>
  </w:style>
  <w:style w:type="paragraph" w:styleId="ListParagraph">
    <w:name w:val="List Paragraph"/>
    <w:basedOn w:val="Normal"/>
    <w:uiPriority w:val="34"/>
    <w:qFormat/>
    <w:rsid w:val="009128F1"/>
    <w:pPr>
      <w:ind w:left="720"/>
      <w:contextualSpacing/>
    </w:pPr>
  </w:style>
  <w:style w:type="character" w:styleId="Hyperlink">
    <w:name w:val="Hyperlink"/>
    <w:basedOn w:val="DefaultParagraphFont"/>
    <w:uiPriority w:val="99"/>
    <w:semiHidden/>
    <w:unhideWhenUsed/>
    <w:rsid w:val="009128F1"/>
    <w:rPr>
      <w:color w:val="195A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1924">
      <w:bodyDiv w:val="1"/>
      <w:marLeft w:val="0"/>
      <w:marRight w:val="0"/>
      <w:marTop w:val="0"/>
      <w:marBottom w:val="0"/>
      <w:divBdr>
        <w:top w:val="none" w:sz="0" w:space="0" w:color="auto"/>
        <w:left w:val="none" w:sz="0" w:space="0" w:color="auto"/>
        <w:bottom w:val="none" w:sz="0" w:space="0" w:color="auto"/>
        <w:right w:val="none" w:sz="0" w:space="0" w:color="auto"/>
      </w:divBdr>
    </w:div>
    <w:div w:id="615255827">
      <w:bodyDiv w:val="1"/>
      <w:marLeft w:val="0"/>
      <w:marRight w:val="0"/>
      <w:marTop w:val="0"/>
      <w:marBottom w:val="0"/>
      <w:divBdr>
        <w:top w:val="none" w:sz="0" w:space="0" w:color="auto"/>
        <w:left w:val="none" w:sz="0" w:space="0" w:color="auto"/>
        <w:bottom w:val="none" w:sz="0" w:space="0" w:color="auto"/>
        <w:right w:val="none" w:sz="0" w:space="0" w:color="auto"/>
      </w:divBdr>
    </w:div>
    <w:div w:id="715544203">
      <w:bodyDiv w:val="1"/>
      <w:marLeft w:val="0"/>
      <w:marRight w:val="0"/>
      <w:marTop w:val="0"/>
      <w:marBottom w:val="0"/>
      <w:divBdr>
        <w:top w:val="none" w:sz="0" w:space="0" w:color="auto"/>
        <w:left w:val="none" w:sz="0" w:space="0" w:color="auto"/>
        <w:bottom w:val="none" w:sz="0" w:space="0" w:color="auto"/>
        <w:right w:val="none" w:sz="0" w:space="0" w:color="auto"/>
      </w:divBdr>
    </w:div>
    <w:div w:id="746659585">
      <w:bodyDiv w:val="1"/>
      <w:marLeft w:val="0"/>
      <w:marRight w:val="0"/>
      <w:marTop w:val="0"/>
      <w:marBottom w:val="0"/>
      <w:divBdr>
        <w:top w:val="none" w:sz="0" w:space="0" w:color="auto"/>
        <w:left w:val="none" w:sz="0" w:space="0" w:color="auto"/>
        <w:bottom w:val="none" w:sz="0" w:space="0" w:color="auto"/>
        <w:right w:val="none" w:sz="0" w:space="0" w:color="auto"/>
      </w:divBdr>
    </w:div>
    <w:div w:id="923760771">
      <w:bodyDiv w:val="1"/>
      <w:marLeft w:val="0"/>
      <w:marRight w:val="0"/>
      <w:marTop w:val="0"/>
      <w:marBottom w:val="0"/>
      <w:divBdr>
        <w:top w:val="none" w:sz="0" w:space="0" w:color="auto"/>
        <w:left w:val="none" w:sz="0" w:space="0" w:color="auto"/>
        <w:bottom w:val="none" w:sz="0" w:space="0" w:color="auto"/>
        <w:right w:val="none" w:sz="0" w:space="0" w:color="auto"/>
      </w:divBdr>
    </w:div>
    <w:div w:id="940994836">
      <w:bodyDiv w:val="1"/>
      <w:marLeft w:val="0"/>
      <w:marRight w:val="0"/>
      <w:marTop w:val="0"/>
      <w:marBottom w:val="0"/>
      <w:divBdr>
        <w:top w:val="none" w:sz="0" w:space="0" w:color="auto"/>
        <w:left w:val="none" w:sz="0" w:space="0" w:color="auto"/>
        <w:bottom w:val="none" w:sz="0" w:space="0" w:color="auto"/>
        <w:right w:val="none" w:sz="0" w:space="0" w:color="auto"/>
      </w:divBdr>
    </w:div>
    <w:div w:id="990519491">
      <w:bodyDiv w:val="1"/>
      <w:marLeft w:val="0"/>
      <w:marRight w:val="0"/>
      <w:marTop w:val="0"/>
      <w:marBottom w:val="0"/>
      <w:divBdr>
        <w:top w:val="none" w:sz="0" w:space="0" w:color="auto"/>
        <w:left w:val="none" w:sz="0" w:space="0" w:color="auto"/>
        <w:bottom w:val="none" w:sz="0" w:space="0" w:color="auto"/>
        <w:right w:val="none" w:sz="0" w:space="0" w:color="auto"/>
      </w:divBdr>
      <w:divsChild>
        <w:div w:id="79303332">
          <w:marLeft w:val="0"/>
          <w:marRight w:val="0"/>
          <w:marTop w:val="0"/>
          <w:marBottom w:val="0"/>
          <w:divBdr>
            <w:top w:val="none" w:sz="0" w:space="0" w:color="auto"/>
            <w:left w:val="none" w:sz="0" w:space="0" w:color="auto"/>
            <w:bottom w:val="none" w:sz="0" w:space="0" w:color="auto"/>
            <w:right w:val="none" w:sz="0" w:space="0" w:color="auto"/>
          </w:divBdr>
        </w:div>
        <w:div w:id="759060693">
          <w:marLeft w:val="0"/>
          <w:marRight w:val="0"/>
          <w:marTop w:val="0"/>
          <w:marBottom w:val="0"/>
          <w:divBdr>
            <w:top w:val="none" w:sz="0" w:space="0" w:color="auto"/>
            <w:left w:val="none" w:sz="0" w:space="0" w:color="auto"/>
            <w:bottom w:val="none" w:sz="0" w:space="0" w:color="auto"/>
            <w:right w:val="none" w:sz="0" w:space="0" w:color="auto"/>
          </w:divBdr>
        </w:div>
        <w:div w:id="1137146247">
          <w:marLeft w:val="0"/>
          <w:marRight w:val="0"/>
          <w:marTop w:val="0"/>
          <w:marBottom w:val="0"/>
          <w:divBdr>
            <w:top w:val="none" w:sz="0" w:space="0" w:color="auto"/>
            <w:left w:val="none" w:sz="0" w:space="0" w:color="auto"/>
            <w:bottom w:val="none" w:sz="0" w:space="0" w:color="auto"/>
            <w:right w:val="none" w:sz="0" w:space="0" w:color="auto"/>
          </w:divBdr>
        </w:div>
        <w:div w:id="1329483089">
          <w:marLeft w:val="0"/>
          <w:marRight w:val="0"/>
          <w:marTop w:val="0"/>
          <w:marBottom w:val="0"/>
          <w:divBdr>
            <w:top w:val="none" w:sz="0" w:space="0" w:color="auto"/>
            <w:left w:val="none" w:sz="0" w:space="0" w:color="auto"/>
            <w:bottom w:val="none" w:sz="0" w:space="0" w:color="auto"/>
            <w:right w:val="none" w:sz="0" w:space="0" w:color="auto"/>
          </w:divBdr>
        </w:div>
        <w:div w:id="1598244227">
          <w:marLeft w:val="0"/>
          <w:marRight w:val="0"/>
          <w:marTop w:val="0"/>
          <w:marBottom w:val="0"/>
          <w:divBdr>
            <w:top w:val="none" w:sz="0" w:space="0" w:color="auto"/>
            <w:left w:val="none" w:sz="0" w:space="0" w:color="auto"/>
            <w:bottom w:val="none" w:sz="0" w:space="0" w:color="auto"/>
            <w:right w:val="none" w:sz="0" w:space="0" w:color="auto"/>
          </w:divBdr>
        </w:div>
      </w:divsChild>
    </w:div>
    <w:div w:id="1018507542">
      <w:bodyDiv w:val="1"/>
      <w:marLeft w:val="0"/>
      <w:marRight w:val="0"/>
      <w:marTop w:val="0"/>
      <w:marBottom w:val="0"/>
      <w:divBdr>
        <w:top w:val="none" w:sz="0" w:space="0" w:color="auto"/>
        <w:left w:val="none" w:sz="0" w:space="0" w:color="auto"/>
        <w:bottom w:val="none" w:sz="0" w:space="0" w:color="auto"/>
        <w:right w:val="none" w:sz="0" w:space="0" w:color="auto"/>
      </w:divBdr>
    </w:div>
    <w:div w:id="1065644512">
      <w:bodyDiv w:val="1"/>
      <w:marLeft w:val="0"/>
      <w:marRight w:val="0"/>
      <w:marTop w:val="0"/>
      <w:marBottom w:val="0"/>
      <w:divBdr>
        <w:top w:val="none" w:sz="0" w:space="0" w:color="auto"/>
        <w:left w:val="none" w:sz="0" w:space="0" w:color="auto"/>
        <w:bottom w:val="none" w:sz="0" w:space="0" w:color="auto"/>
        <w:right w:val="none" w:sz="0" w:space="0" w:color="auto"/>
      </w:divBdr>
    </w:div>
    <w:div w:id="1435902878">
      <w:bodyDiv w:val="1"/>
      <w:marLeft w:val="0"/>
      <w:marRight w:val="0"/>
      <w:marTop w:val="0"/>
      <w:marBottom w:val="0"/>
      <w:divBdr>
        <w:top w:val="none" w:sz="0" w:space="0" w:color="auto"/>
        <w:left w:val="none" w:sz="0" w:space="0" w:color="auto"/>
        <w:bottom w:val="none" w:sz="0" w:space="0" w:color="auto"/>
        <w:right w:val="none" w:sz="0" w:space="0" w:color="auto"/>
      </w:divBdr>
    </w:div>
    <w:div w:id="1522160596">
      <w:bodyDiv w:val="1"/>
      <w:marLeft w:val="0"/>
      <w:marRight w:val="0"/>
      <w:marTop w:val="0"/>
      <w:marBottom w:val="0"/>
      <w:divBdr>
        <w:top w:val="none" w:sz="0" w:space="0" w:color="auto"/>
        <w:left w:val="none" w:sz="0" w:space="0" w:color="auto"/>
        <w:bottom w:val="none" w:sz="0" w:space="0" w:color="auto"/>
        <w:right w:val="none" w:sz="0" w:space="0" w:color="auto"/>
      </w:divBdr>
    </w:div>
    <w:div w:id="1554534892">
      <w:bodyDiv w:val="1"/>
      <w:marLeft w:val="0"/>
      <w:marRight w:val="0"/>
      <w:marTop w:val="0"/>
      <w:marBottom w:val="0"/>
      <w:divBdr>
        <w:top w:val="none" w:sz="0" w:space="0" w:color="auto"/>
        <w:left w:val="none" w:sz="0" w:space="0" w:color="auto"/>
        <w:bottom w:val="none" w:sz="0" w:space="0" w:color="auto"/>
        <w:right w:val="none" w:sz="0" w:space="0" w:color="auto"/>
      </w:divBdr>
    </w:div>
    <w:div w:id="2028746123">
      <w:bodyDiv w:val="1"/>
      <w:marLeft w:val="0"/>
      <w:marRight w:val="0"/>
      <w:marTop w:val="0"/>
      <w:marBottom w:val="0"/>
      <w:divBdr>
        <w:top w:val="none" w:sz="0" w:space="0" w:color="auto"/>
        <w:left w:val="none" w:sz="0" w:space="0" w:color="auto"/>
        <w:bottom w:val="none" w:sz="0" w:space="0" w:color="auto"/>
        <w:right w:val="none" w:sz="0" w:space="0" w:color="auto"/>
      </w:divBdr>
    </w:div>
    <w:div w:id="20340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ocial Finance Theme Colours">
      <a:dk1>
        <a:sysClr val="windowText" lastClr="000000"/>
      </a:dk1>
      <a:lt1>
        <a:sysClr val="window" lastClr="FFFFFF"/>
      </a:lt1>
      <a:dk2>
        <a:srgbClr val="144650"/>
      </a:dk2>
      <a:lt2>
        <a:srgbClr val="DAE3DB"/>
      </a:lt2>
      <a:accent1>
        <a:srgbClr val="000000"/>
      </a:accent1>
      <a:accent2>
        <a:srgbClr val="195ABE"/>
      </a:accent2>
      <a:accent3>
        <a:srgbClr val="ED7D31"/>
      </a:accent3>
      <a:accent4>
        <a:srgbClr val="8C96BE"/>
      </a:accent4>
      <a:accent5>
        <a:srgbClr val="FABCD2"/>
      </a:accent5>
      <a:accent6>
        <a:srgbClr val="46CDE6"/>
      </a:accent6>
      <a:hlink>
        <a:srgbClr val="195ABE"/>
      </a:hlink>
      <a:folHlink>
        <a:srgbClr val="46CDE6"/>
      </a:folHlink>
    </a:clrScheme>
    <a:fontScheme name="SF Stanadard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580CF2028DB54DA2A039F4CE362577" ma:contentTypeVersion="6" ma:contentTypeDescription="Create a new document." ma:contentTypeScope="" ma:versionID="cb2333a88003aa4e44b8344a53bb1b31">
  <xsd:schema xmlns:xsd="http://www.w3.org/2001/XMLSchema" xmlns:xs="http://www.w3.org/2001/XMLSchema" xmlns:p="http://schemas.microsoft.com/office/2006/metadata/properties" xmlns:ns2="3ccecccc-f41f-44d6-a1d8-b19b277ba3b5" xmlns:ns3="ec3b0158-b2c3-4f12-b074-5cbc85ee83c8" targetNamespace="http://schemas.microsoft.com/office/2006/metadata/properties" ma:root="true" ma:fieldsID="842e1924f75bcbef355f7919a655868d" ns2:_="" ns3:_="">
    <xsd:import namespace="3ccecccc-f41f-44d6-a1d8-b19b277ba3b5"/>
    <xsd:import namespace="ec3b0158-b2c3-4f12-b074-5cbc85ee83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ecccc-f41f-44d6-a1d8-b19b277ba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b0158-b2c3-4f12-b074-5cbc85ee83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c3b0158-b2c3-4f12-b074-5cbc85ee83c8">
      <UserInfo>
        <DisplayName>Alice Birch</DisplayName>
        <AccountId>65</AccountId>
        <AccountType/>
      </UserInfo>
      <UserInfo>
        <DisplayName>Joe Magee-Billson</DisplayName>
        <AccountId>92</AccountId>
        <AccountType/>
      </UserInfo>
    </SharedWithUsers>
  </documentManagement>
</p:properties>
</file>

<file path=customXml/itemProps1.xml><?xml version="1.0" encoding="utf-8"?>
<ds:datastoreItem xmlns:ds="http://schemas.openxmlformats.org/officeDocument/2006/customXml" ds:itemID="{79C7D4F0-0F5E-4B19-9DAB-25E80F2FBFE2}">
  <ds:schemaRefs>
    <ds:schemaRef ds:uri="http://schemas.openxmlformats.org/officeDocument/2006/bibliography"/>
  </ds:schemaRefs>
</ds:datastoreItem>
</file>

<file path=customXml/itemProps2.xml><?xml version="1.0" encoding="utf-8"?>
<ds:datastoreItem xmlns:ds="http://schemas.openxmlformats.org/officeDocument/2006/customXml" ds:itemID="{BAEE51FD-7C67-4203-9030-62974527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ecccc-f41f-44d6-a1d8-b19b277ba3b5"/>
    <ds:schemaRef ds:uri="ec3b0158-b2c3-4f12-b074-5cbc85ee8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5C04A-0649-4332-BAB1-B326DFB3CD91}">
  <ds:schemaRefs>
    <ds:schemaRef ds:uri="http://schemas.microsoft.com/sharepoint/v3/contenttype/forms"/>
  </ds:schemaRefs>
</ds:datastoreItem>
</file>

<file path=customXml/itemProps4.xml><?xml version="1.0" encoding="utf-8"?>
<ds:datastoreItem xmlns:ds="http://schemas.openxmlformats.org/officeDocument/2006/customXml" ds:itemID="{F1F07B4C-47AC-4487-95C6-B1026C86135F}">
  <ds:schemaRefs>
    <ds:schemaRef ds:uri="http://schemas.microsoft.com/office/2006/metadata/properties"/>
    <ds:schemaRef ds:uri="http://schemas.microsoft.com/office/infopath/2007/PartnerControls"/>
    <ds:schemaRef ds:uri="ec3b0158-b2c3-4f12-b074-5cbc85ee83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NICHOLAS</dc:creator>
  <cp:keywords/>
  <dc:description/>
  <cp:lastModifiedBy>Cooper Renfro</cp:lastModifiedBy>
  <cp:revision>15</cp:revision>
  <cp:lastPrinted>2024-06-18T00:36:00Z</cp:lastPrinted>
  <dcterms:created xsi:type="dcterms:W3CDTF">2024-10-07T15:57:00Z</dcterms:created>
  <dcterms:modified xsi:type="dcterms:W3CDTF">2025-01-07T17:11:00Z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0x01010066580CF2028DB54DA2A039F4CE362577</vt:lpwstr>
  </property>
  <property fmtid="{D5CDD505-2E9C-101B-9397-08002B2CF9AE}" pid="3" name="MediaServiceImageTags">
    <vt:lpwstr/>
  </property>
</Properties>
</file>